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760" w:lineRule="exact"/>
        <w:ind w:firstLine="2108" w:firstLineChars="700"/>
        <w:jc w:val="both"/>
        <w:rPr>
          <w:rFonts w:hint="eastAsia" w:ascii="宋体" w:hAnsi="宋体"/>
          <w:b/>
          <w:color w:val="000000"/>
          <w:sz w:val="30"/>
          <w:szCs w:val="30"/>
        </w:rPr>
      </w:pPr>
      <w:r>
        <w:rPr>
          <w:rFonts w:hint="eastAsia" w:ascii="宋体" w:hAnsi="宋体"/>
          <w:b/>
          <w:color w:val="000000"/>
          <w:sz w:val="30"/>
          <w:szCs w:val="30"/>
        </w:rPr>
        <w:t>招标编号：邻中医采[201</w:t>
      </w:r>
      <w:r>
        <w:rPr>
          <w:rFonts w:hint="eastAsia" w:ascii="宋体" w:hAnsi="宋体"/>
          <w:b/>
          <w:color w:val="000000"/>
          <w:sz w:val="30"/>
          <w:szCs w:val="30"/>
          <w:lang w:val="en-US" w:eastAsia="zh-CN"/>
        </w:rPr>
        <w:t>9</w:t>
      </w:r>
      <w:r>
        <w:rPr>
          <w:rFonts w:hint="eastAsia" w:ascii="宋体" w:hAnsi="宋体"/>
          <w:b/>
          <w:color w:val="000000"/>
          <w:sz w:val="30"/>
          <w:szCs w:val="30"/>
        </w:rPr>
        <w:t xml:space="preserve">] </w:t>
      </w:r>
      <w:r>
        <w:rPr>
          <w:rFonts w:hint="eastAsia" w:ascii="宋体" w:hAnsi="宋体"/>
          <w:b/>
          <w:color w:val="000000"/>
          <w:sz w:val="30"/>
          <w:szCs w:val="30"/>
          <w:lang w:val="en-US" w:eastAsia="zh-CN"/>
        </w:rPr>
        <w:t>12</w:t>
      </w:r>
      <w:r>
        <w:rPr>
          <w:rFonts w:hint="eastAsia" w:ascii="宋体" w:hAnsi="宋体"/>
          <w:b/>
          <w:color w:val="000000"/>
          <w:sz w:val="30"/>
          <w:szCs w:val="30"/>
        </w:rPr>
        <w:t>号</w:t>
      </w:r>
    </w:p>
    <w:p>
      <w:pPr>
        <w:keepNext w:val="0"/>
        <w:keepLines w:val="0"/>
        <w:widowControl/>
        <w:suppressLineNumbers w:val="0"/>
        <w:jc w:val="left"/>
        <w:rPr>
          <w:rFonts w:hint="eastAsia" w:ascii="宋体" w:hAnsi="宋体" w:eastAsia="宋体" w:cs="宋体"/>
          <w:b/>
          <w:color w:val="000000"/>
          <w:kern w:val="0"/>
          <w:sz w:val="52"/>
          <w:szCs w:val="52"/>
          <w:lang w:val="en-US" w:eastAsia="zh-CN" w:bidi="ar"/>
        </w:rPr>
      </w:pPr>
      <w:r>
        <w:rPr>
          <w:rFonts w:hint="eastAsia" w:ascii="宋体" w:hAnsi="宋体" w:eastAsia="宋体" w:cs="宋体"/>
          <w:b/>
          <w:color w:val="000000"/>
          <w:kern w:val="0"/>
          <w:sz w:val="52"/>
          <w:szCs w:val="52"/>
          <w:lang w:val="en-US" w:eastAsia="zh-CN" w:bidi="ar"/>
        </w:rPr>
        <w:t>邻水县中医医院水污染源在线监测</w:t>
      </w:r>
    </w:p>
    <w:p>
      <w:pPr>
        <w:keepNext w:val="0"/>
        <w:keepLines w:val="0"/>
        <w:widowControl/>
        <w:suppressLineNumbers w:val="0"/>
        <w:ind w:firstLine="1566" w:firstLineChars="300"/>
        <w:jc w:val="left"/>
      </w:pPr>
      <w:r>
        <w:rPr>
          <w:rFonts w:hint="eastAsia" w:ascii="宋体" w:hAnsi="宋体" w:eastAsia="宋体" w:cs="宋体"/>
          <w:b/>
          <w:color w:val="000000"/>
          <w:kern w:val="0"/>
          <w:sz w:val="52"/>
          <w:szCs w:val="52"/>
          <w:lang w:val="en-US" w:eastAsia="zh-CN" w:bidi="ar"/>
        </w:rPr>
        <w:t xml:space="preserve">运维服务采购项目 </w:t>
      </w:r>
    </w:p>
    <w:p>
      <w:pPr>
        <w:keepNext w:val="0"/>
        <w:keepLines w:val="0"/>
        <w:widowControl/>
        <w:suppressLineNumbers w:val="0"/>
        <w:ind w:firstLine="3373" w:firstLineChars="700"/>
        <w:jc w:val="left"/>
        <w:rPr>
          <w:rFonts w:hint="eastAsia" w:ascii="宋体" w:hAnsi="宋体" w:eastAsia="宋体" w:cs="宋体"/>
          <w:b/>
          <w:color w:val="000000"/>
          <w:kern w:val="0"/>
          <w:sz w:val="48"/>
          <w:szCs w:val="48"/>
          <w:lang w:val="en-US" w:eastAsia="zh-CN" w:bidi="ar"/>
        </w:rPr>
      </w:pPr>
    </w:p>
    <w:p>
      <w:pPr>
        <w:keepNext w:val="0"/>
        <w:keepLines w:val="0"/>
        <w:widowControl/>
        <w:suppressLineNumbers w:val="0"/>
        <w:ind w:firstLine="3373" w:firstLineChars="700"/>
        <w:jc w:val="left"/>
        <w:rPr>
          <w:rFonts w:hint="eastAsia" w:ascii="宋体" w:hAnsi="宋体" w:eastAsia="宋体" w:cs="宋体"/>
          <w:b/>
          <w:color w:val="000000"/>
          <w:kern w:val="0"/>
          <w:sz w:val="48"/>
          <w:szCs w:val="48"/>
          <w:lang w:val="en-US" w:eastAsia="zh-CN" w:bidi="ar"/>
        </w:rPr>
      </w:pPr>
    </w:p>
    <w:p>
      <w:pPr>
        <w:keepNext w:val="0"/>
        <w:keepLines w:val="0"/>
        <w:widowControl/>
        <w:suppressLineNumbers w:val="0"/>
        <w:ind w:firstLine="3614" w:firstLineChars="500"/>
        <w:jc w:val="left"/>
        <w:rPr>
          <w:sz w:val="72"/>
          <w:szCs w:val="72"/>
        </w:rPr>
      </w:pPr>
      <w:r>
        <w:rPr>
          <w:rFonts w:hint="eastAsia" w:ascii="宋体" w:hAnsi="宋体" w:eastAsia="宋体" w:cs="宋体"/>
          <w:b/>
          <w:color w:val="000000"/>
          <w:kern w:val="0"/>
          <w:sz w:val="72"/>
          <w:szCs w:val="72"/>
          <w:lang w:val="en-US" w:eastAsia="zh-CN" w:bidi="ar"/>
        </w:rPr>
        <w:t>竞</w:t>
      </w:r>
    </w:p>
    <w:p>
      <w:pPr>
        <w:keepNext w:val="0"/>
        <w:keepLines w:val="0"/>
        <w:widowControl/>
        <w:suppressLineNumbers w:val="0"/>
        <w:ind w:firstLine="3614" w:firstLineChars="500"/>
        <w:jc w:val="left"/>
        <w:rPr>
          <w:sz w:val="72"/>
          <w:szCs w:val="72"/>
        </w:rPr>
      </w:pPr>
      <w:r>
        <w:rPr>
          <w:rFonts w:hint="eastAsia" w:ascii="宋体" w:hAnsi="宋体" w:eastAsia="宋体" w:cs="宋体"/>
          <w:b/>
          <w:color w:val="000000"/>
          <w:kern w:val="0"/>
          <w:sz w:val="72"/>
          <w:szCs w:val="72"/>
          <w:lang w:val="en-US" w:eastAsia="zh-CN" w:bidi="ar"/>
        </w:rPr>
        <w:t>争</w:t>
      </w:r>
    </w:p>
    <w:p>
      <w:pPr>
        <w:keepNext w:val="0"/>
        <w:keepLines w:val="0"/>
        <w:widowControl/>
        <w:suppressLineNumbers w:val="0"/>
        <w:ind w:firstLine="3614" w:firstLineChars="500"/>
        <w:jc w:val="left"/>
        <w:rPr>
          <w:sz w:val="72"/>
          <w:szCs w:val="72"/>
        </w:rPr>
      </w:pPr>
      <w:r>
        <w:rPr>
          <w:rFonts w:hint="eastAsia" w:ascii="宋体" w:hAnsi="宋体" w:eastAsia="宋体" w:cs="宋体"/>
          <w:b/>
          <w:color w:val="000000"/>
          <w:kern w:val="0"/>
          <w:sz w:val="72"/>
          <w:szCs w:val="72"/>
          <w:lang w:val="en-US" w:eastAsia="zh-CN" w:bidi="ar"/>
        </w:rPr>
        <w:t>性</w:t>
      </w:r>
    </w:p>
    <w:p>
      <w:pPr>
        <w:keepNext w:val="0"/>
        <w:keepLines w:val="0"/>
        <w:widowControl/>
        <w:suppressLineNumbers w:val="0"/>
        <w:ind w:firstLine="3614" w:firstLineChars="500"/>
        <w:jc w:val="left"/>
        <w:rPr>
          <w:sz w:val="72"/>
          <w:szCs w:val="72"/>
        </w:rPr>
      </w:pPr>
      <w:r>
        <w:rPr>
          <w:rFonts w:hint="eastAsia" w:ascii="宋体" w:hAnsi="宋体" w:eastAsia="宋体" w:cs="宋体"/>
          <w:b/>
          <w:color w:val="000000"/>
          <w:kern w:val="0"/>
          <w:sz w:val="72"/>
          <w:szCs w:val="72"/>
          <w:lang w:val="en-US" w:eastAsia="zh-CN" w:bidi="ar"/>
        </w:rPr>
        <w:t>谈</w:t>
      </w:r>
    </w:p>
    <w:p>
      <w:pPr>
        <w:keepNext w:val="0"/>
        <w:keepLines w:val="0"/>
        <w:widowControl/>
        <w:suppressLineNumbers w:val="0"/>
        <w:ind w:firstLine="3614" w:firstLineChars="500"/>
        <w:jc w:val="left"/>
        <w:rPr>
          <w:sz w:val="72"/>
          <w:szCs w:val="72"/>
        </w:rPr>
      </w:pPr>
      <w:r>
        <w:rPr>
          <w:rFonts w:hint="eastAsia" w:ascii="宋体" w:hAnsi="宋体" w:eastAsia="宋体" w:cs="宋体"/>
          <w:b/>
          <w:color w:val="000000"/>
          <w:kern w:val="0"/>
          <w:sz w:val="72"/>
          <w:szCs w:val="72"/>
          <w:lang w:val="en-US" w:eastAsia="zh-CN" w:bidi="ar"/>
        </w:rPr>
        <w:t>判</w:t>
      </w:r>
    </w:p>
    <w:p>
      <w:pPr>
        <w:keepNext w:val="0"/>
        <w:keepLines w:val="0"/>
        <w:widowControl/>
        <w:suppressLineNumbers w:val="0"/>
        <w:ind w:firstLine="3614" w:firstLineChars="500"/>
        <w:jc w:val="left"/>
        <w:rPr>
          <w:sz w:val="72"/>
          <w:szCs w:val="72"/>
        </w:rPr>
      </w:pPr>
      <w:r>
        <w:rPr>
          <w:rFonts w:hint="eastAsia" w:ascii="宋体" w:hAnsi="宋体" w:eastAsia="宋体" w:cs="宋体"/>
          <w:b/>
          <w:color w:val="000000"/>
          <w:kern w:val="0"/>
          <w:sz w:val="72"/>
          <w:szCs w:val="72"/>
          <w:lang w:val="en-US" w:eastAsia="zh-CN" w:bidi="ar"/>
        </w:rPr>
        <w:t>文</w:t>
      </w:r>
    </w:p>
    <w:p>
      <w:pPr>
        <w:keepNext w:val="0"/>
        <w:keepLines w:val="0"/>
        <w:widowControl/>
        <w:suppressLineNumbers w:val="0"/>
        <w:ind w:firstLine="3614" w:firstLineChars="500"/>
        <w:jc w:val="left"/>
      </w:pPr>
      <w:r>
        <w:rPr>
          <w:rFonts w:hint="eastAsia" w:ascii="宋体" w:hAnsi="宋体" w:eastAsia="宋体" w:cs="宋体"/>
          <w:b/>
          <w:color w:val="000000"/>
          <w:kern w:val="0"/>
          <w:sz w:val="72"/>
          <w:szCs w:val="72"/>
          <w:lang w:val="en-US" w:eastAsia="zh-CN" w:bidi="ar"/>
        </w:rPr>
        <w:t>件</w:t>
      </w:r>
      <w:r>
        <w:rPr>
          <w:rFonts w:hint="eastAsia" w:ascii="宋体" w:hAnsi="宋体" w:eastAsia="宋体" w:cs="宋体"/>
          <w:b/>
          <w:color w:val="000000"/>
          <w:kern w:val="0"/>
          <w:sz w:val="48"/>
          <w:szCs w:val="48"/>
          <w:lang w:val="en-US" w:eastAsia="zh-CN" w:bidi="ar"/>
        </w:rPr>
        <w:t xml:space="preserve"> </w:t>
      </w:r>
    </w:p>
    <w:p>
      <w:pPr>
        <w:keepNext w:val="0"/>
        <w:keepLines w:val="0"/>
        <w:widowControl/>
        <w:suppressLineNumbers w:val="0"/>
        <w:jc w:val="left"/>
      </w:pPr>
      <w:r>
        <w:rPr>
          <w:rFonts w:hint="eastAsia" w:ascii="宋体" w:hAnsi="宋体" w:eastAsia="宋体" w:cs="宋体"/>
          <w:b/>
          <w:color w:val="000000"/>
          <w:kern w:val="0"/>
          <w:sz w:val="28"/>
          <w:szCs w:val="28"/>
          <w:lang w:val="en-US" w:eastAsia="zh-CN" w:bidi="ar"/>
        </w:rPr>
        <w:t xml:space="preserve"> </w:t>
      </w:r>
    </w:p>
    <w:p>
      <w:pPr>
        <w:keepNext w:val="0"/>
        <w:keepLines w:val="0"/>
        <w:widowControl/>
        <w:suppressLineNumbers w:val="0"/>
        <w:ind w:firstLine="2490" w:firstLineChars="800"/>
        <w:jc w:val="left"/>
        <w:rPr>
          <w:rFonts w:hint="eastAsia" w:ascii="宋体" w:hAnsi="宋体" w:eastAsia="宋体" w:cs="宋体"/>
          <w:b/>
          <w:color w:val="000000"/>
          <w:kern w:val="0"/>
          <w:sz w:val="31"/>
          <w:szCs w:val="31"/>
          <w:lang w:val="en-US" w:eastAsia="zh-CN" w:bidi="ar"/>
        </w:rPr>
      </w:pPr>
    </w:p>
    <w:p>
      <w:pPr>
        <w:keepNext w:val="0"/>
        <w:keepLines w:val="0"/>
        <w:widowControl/>
        <w:suppressLineNumbers w:val="0"/>
        <w:ind w:firstLine="2490" w:firstLineChars="800"/>
        <w:jc w:val="left"/>
        <w:rPr>
          <w:rFonts w:hint="eastAsia" w:ascii="宋体" w:hAnsi="宋体" w:eastAsia="宋体" w:cs="宋体"/>
          <w:b/>
          <w:color w:val="000000"/>
          <w:kern w:val="0"/>
          <w:sz w:val="31"/>
          <w:szCs w:val="31"/>
          <w:lang w:val="en-US" w:eastAsia="zh-CN" w:bidi="ar"/>
        </w:rPr>
      </w:pPr>
    </w:p>
    <w:p>
      <w:pPr>
        <w:keepNext w:val="0"/>
        <w:keepLines w:val="0"/>
        <w:widowControl/>
        <w:suppressLineNumbers w:val="0"/>
        <w:ind w:firstLine="2490" w:firstLineChars="800"/>
        <w:jc w:val="left"/>
        <w:rPr>
          <w:rFonts w:hint="eastAsia" w:ascii="宋体" w:hAnsi="宋体" w:eastAsia="宋体" w:cs="宋体"/>
          <w:b/>
          <w:color w:val="000000"/>
          <w:kern w:val="0"/>
          <w:sz w:val="31"/>
          <w:szCs w:val="31"/>
          <w:lang w:val="en-US" w:eastAsia="zh-CN" w:bidi="ar"/>
        </w:rPr>
      </w:pPr>
      <w:r>
        <w:rPr>
          <w:rFonts w:hint="eastAsia" w:ascii="宋体" w:hAnsi="宋体" w:eastAsia="宋体" w:cs="宋体"/>
          <w:b/>
          <w:color w:val="000000"/>
          <w:kern w:val="0"/>
          <w:sz w:val="31"/>
          <w:szCs w:val="31"/>
          <w:lang w:val="en-US" w:eastAsia="zh-CN" w:bidi="ar"/>
        </w:rPr>
        <w:t>邻水县中医医院</w:t>
      </w:r>
    </w:p>
    <w:p>
      <w:pPr>
        <w:keepNext w:val="0"/>
        <w:keepLines w:val="0"/>
        <w:widowControl/>
        <w:suppressLineNumbers w:val="0"/>
        <w:ind w:firstLine="2178" w:firstLineChars="700"/>
        <w:jc w:val="left"/>
        <w:rPr>
          <w:rFonts w:hint="default" w:ascii="宋体" w:hAnsi="宋体" w:eastAsia="宋体" w:cs="宋体"/>
          <w:b/>
          <w:color w:val="000000"/>
          <w:kern w:val="0"/>
          <w:sz w:val="31"/>
          <w:szCs w:val="31"/>
          <w:lang w:val="en-US" w:eastAsia="zh-CN" w:bidi="ar"/>
        </w:rPr>
      </w:pPr>
      <w:r>
        <w:rPr>
          <w:rFonts w:hint="eastAsia" w:ascii="宋体" w:hAnsi="宋体" w:eastAsia="宋体" w:cs="宋体"/>
          <w:b/>
          <w:color w:val="000000"/>
          <w:kern w:val="0"/>
          <w:sz w:val="31"/>
          <w:szCs w:val="31"/>
          <w:lang w:val="en-US" w:eastAsia="zh-CN" w:bidi="ar"/>
        </w:rPr>
        <w:t xml:space="preserve">                    编制</w:t>
      </w:r>
    </w:p>
    <w:p>
      <w:pPr>
        <w:keepNext w:val="0"/>
        <w:keepLines w:val="0"/>
        <w:widowControl/>
        <w:suppressLineNumbers w:val="0"/>
        <w:ind w:firstLine="2811" w:firstLineChars="1000"/>
        <w:jc w:val="left"/>
      </w:pPr>
      <w:r>
        <w:rPr>
          <w:rFonts w:hint="eastAsia" w:ascii="宋体" w:hAnsi="宋体" w:eastAsia="宋体" w:cs="宋体"/>
          <w:b/>
          <w:color w:val="000000"/>
          <w:kern w:val="0"/>
          <w:sz w:val="28"/>
          <w:szCs w:val="28"/>
          <w:lang w:val="en-US" w:eastAsia="zh-CN" w:bidi="ar"/>
        </w:rPr>
        <w:t>二○一九年七月</w:t>
      </w:r>
    </w:p>
    <w:p>
      <w:pPr>
        <w:keepNext w:val="0"/>
        <w:keepLines w:val="0"/>
        <w:widowControl/>
        <w:suppressLineNumbers w:val="0"/>
        <w:jc w:val="left"/>
        <w:rPr>
          <w:rFonts w:hint="eastAsia" w:ascii="宋体" w:hAnsi="宋体" w:eastAsia="宋体" w:cs="宋体"/>
          <w:b/>
          <w:color w:val="000000"/>
          <w:kern w:val="0"/>
          <w:sz w:val="36"/>
          <w:szCs w:val="36"/>
          <w:lang w:val="en-US" w:eastAsia="zh-CN" w:bidi="ar"/>
        </w:rPr>
      </w:pPr>
    </w:p>
    <w:p>
      <w:pPr>
        <w:keepNext w:val="0"/>
        <w:keepLines w:val="0"/>
        <w:widowControl/>
        <w:suppressLineNumbers w:val="0"/>
        <w:jc w:val="left"/>
        <w:rPr>
          <w:rFonts w:hint="eastAsia" w:ascii="宋体" w:hAnsi="宋体" w:eastAsia="宋体" w:cs="宋体"/>
          <w:b/>
          <w:color w:val="000000"/>
          <w:kern w:val="0"/>
          <w:sz w:val="36"/>
          <w:szCs w:val="36"/>
          <w:lang w:val="en-US" w:eastAsia="zh-CN" w:bidi="ar"/>
        </w:rPr>
      </w:pPr>
    </w:p>
    <w:p>
      <w:pPr>
        <w:keepNext w:val="0"/>
        <w:keepLines w:val="0"/>
        <w:widowControl/>
        <w:suppressLineNumbers w:val="0"/>
        <w:jc w:val="left"/>
        <w:rPr>
          <w:rFonts w:hint="eastAsia" w:ascii="宋体" w:hAnsi="宋体" w:eastAsia="宋体" w:cs="宋体"/>
          <w:b/>
          <w:color w:val="000000"/>
          <w:kern w:val="0"/>
          <w:sz w:val="36"/>
          <w:szCs w:val="36"/>
          <w:lang w:val="en-US" w:eastAsia="zh-CN" w:bidi="ar"/>
        </w:rPr>
      </w:pPr>
    </w:p>
    <w:p>
      <w:pPr>
        <w:keepNext w:val="0"/>
        <w:keepLines w:val="0"/>
        <w:widowControl/>
        <w:suppressLineNumbers w:val="0"/>
        <w:ind w:firstLine="2891" w:firstLineChars="800"/>
        <w:jc w:val="left"/>
      </w:pPr>
      <w:r>
        <w:rPr>
          <w:rFonts w:hint="eastAsia" w:ascii="宋体" w:hAnsi="宋体" w:eastAsia="宋体" w:cs="宋体"/>
          <w:b/>
          <w:color w:val="000000"/>
          <w:kern w:val="0"/>
          <w:sz w:val="36"/>
          <w:szCs w:val="36"/>
          <w:lang w:val="en-US" w:eastAsia="zh-CN" w:bidi="ar"/>
        </w:rPr>
        <w:t xml:space="preserve">目 录 </w:t>
      </w:r>
    </w:p>
    <w:p>
      <w:pPr>
        <w:keepNext w:val="0"/>
        <w:keepLines w:val="0"/>
        <w:widowControl/>
        <w:suppressLineNumbers w:val="0"/>
        <w:jc w:val="left"/>
      </w:pPr>
      <w:r>
        <w:rPr>
          <w:rFonts w:hint="eastAsia" w:ascii="宋体" w:hAnsi="宋体" w:eastAsia="宋体" w:cs="宋体"/>
          <w:b/>
          <w:color w:val="000000"/>
          <w:kern w:val="0"/>
          <w:sz w:val="24"/>
          <w:szCs w:val="24"/>
          <w:lang w:val="en-US" w:eastAsia="zh-CN" w:bidi="ar"/>
        </w:rPr>
        <w:t>第一章 竞争性谈判邀请公告</w:t>
      </w:r>
      <w:r>
        <w:rPr>
          <w:rFonts w:ascii="TimesNewRomanPS-BoldMT" w:hAnsi="TimesNewRomanPS-BoldMT" w:eastAsia="TimesNewRomanPS-BoldMT" w:cs="TimesNewRomanPS-BoldMT"/>
          <w:b/>
          <w:color w:val="000000"/>
          <w:kern w:val="0"/>
          <w:sz w:val="24"/>
          <w:szCs w:val="24"/>
          <w:lang w:val="en-US" w:eastAsia="zh-CN" w:bidi="ar"/>
        </w:rPr>
        <w:t>....................................................................................</w:t>
      </w:r>
      <w:r>
        <w:rPr>
          <w:rFonts w:hint="eastAsia" w:ascii="宋体" w:hAnsi="宋体" w:eastAsia="宋体" w:cs="宋体"/>
          <w:b/>
          <w:color w:val="000000"/>
          <w:kern w:val="0"/>
          <w:sz w:val="24"/>
          <w:szCs w:val="24"/>
          <w:lang w:val="en-US" w:eastAsia="zh-CN" w:bidi="ar"/>
        </w:rPr>
        <w:t xml:space="preserve">1 </w:t>
      </w:r>
    </w:p>
    <w:p>
      <w:pPr>
        <w:keepNext w:val="0"/>
        <w:keepLines w:val="0"/>
        <w:widowControl/>
        <w:suppressLineNumbers w:val="0"/>
        <w:jc w:val="left"/>
      </w:pPr>
      <w:r>
        <w:rPr>
          <w:rFonts w:hint="eastAsia" w:ascii="宋体" w:hAnsi="宋体" w:eastAsia="宋体" w:cs="宋体"/>
          <w:b/>
          <w:color w:val="000000"/>
          <w:kern w:val="0"/>
          <w:sz w:val="24"/>
          <w:szCs w:val="24"/>
          <w:lang w:val="en-US" w:eastAsia="zh-CN" w:bidi="ar"/>
        </w:rPr>
        <w:t>第二章 谈判须知</w:t>
      </w:r>
      <w:r>
        <w:rPr>
          <w:rFonts w:hint="default" w:ascii="TimesNewRomanPS-BoldMT" w:hAnsi="TimesNewRomanPS-BoldMT" w:eastAsia="TimesNewRomanPS-BoldMT" w:cs="TimesNewRomanPS-BoldMT"/>
          <w:b/>
          <w:color w:val="000000"/>
          <w:kern w:val="0"/>
          <w:sz w:val="24"/>
          <w:szCs w:val="24"/>
          <w:lang w:val="en-US" w:eastAsia="zh-CN" w:bidi="ar"/>
        </w:rPr>
        <w:t>........................................................................................................</w:t>
      </w:r>
      <w:r>
        <w:rPr>
          <w:rFonts w:hint="eastAsia" w:ascii="宋体" w:hAnsi="宋体" w:eastAsia="宋体" w:cs="宋体"/>
          <w:b/>
          <w:color w:val="000000"/>
          <w:kern w:val="0"/>
          <w:sz w:val="24"/>
          <w:szCs w:val="24"/>
          <w:lang w:val="en-US" w:eastAsia="zh-CN" w:bidi="ar"/>
        </w:rPr>
        <w:t xml:space="preserve">4 </w:t>
      </w:r>
    </w:p>
    <w:p>
      <w:pPr>
        <w:keepNext w:val="0"/>
        <w:keepLines w:val="0"/>
        <w:widowControl/>
        <w:suppressLineNumbers w:val="0"/>
        <w:jc w:val="left"/>
      </w:pPr>
      <w:r>
        <w:rPr>
          <w:rFonts w:hint="eastAsia" w:ascii="宋体" w:hAnsi="宋体" w:eastAsia="宋体" w:cs="宋体"/>
          <w:b/>
          <w:color w:val="000000"/>
          <w:kern w:val="0"/>
          <w:sz w:val="24"/>
          <w:szCs w:val="24"/>
          <w:lang w:val="en-US" w:eastAsia="zh-CN" w:bidi="ar"/>
        </w:rPr>
        <w:t>第三章 供应商资格证明文件</w:t>
      </w:r>
      <w:r>
        <w:rPr>
          <w:rFonts w:hint="default" w:ascii="TimesNewRomanPS-BoldMT" w:hAnsi="TimesNewRomanPS-BoldMT" w:eastAsia="TimesNewRomanPS-BoldMT" w:cs="TimesNewRomanPS-BoldMT"/>
          <w:b/>
          <w:color w:val="000000"/>
          <w:kern w:val="0"/>
          <w:sz w:val="24"/>
          <w:szCs w:val="24"/>
          <w:lang w:val="en-US" w:eastAsia="zh-CN" w:bidi="ar"/>
        </w:rPr>
        <w:t>....................................................................................</w:t>
      </w:r>
      <w:r>
        <w:rPr>
          <w:rFonts w:hint="eastAsia" w:ascii="宋体" w:hAnsi="宋体" w:eastAsia="宋体" w:cs="宋体"/>
          <w:b/>
          <w:color w:val="000000"/>
          <w:kern w:val="0"/>
          <w:sz w:val="24"/>
          <w:szCs w:val="24"/>
          <w:lang w:val="en-US" w:eastAsia="zh-CN" w:bidi="ar"/>
        </w:rPr>
        <w:t xml:space="preserve">9 </w:t>
      </w:r>
    </w:p>
    <w:p>
      <w:pPr>
        <w:keepNext w:val="0"/>
        <w:keepLines w:val="0"/>
        <w:widowControl/>
        <w:suppressLineNumbers w:val="0"/>
        <w:jc w:val="left"/>
      </w:pPr>
      <w:r>
        <w:rPr>
          <w:rFonts w:hint="eastAsia" w:ascii="宋体" w:hAnsi="宋体" w:eastAsia="宋体" w:cs="宋体"/>
          <w:b/>
          <w:color w:val="000000"/>
          <w:kern w:val="0"/>
          <w:sz w:val="24"/>
          <w:szCs w:val="24"/>
          <w:lang w:val="en-US" w:eastAsia="zh-CN" w:bidi="ar"/>
        </w:rPr>
        <w:t>第四章 货物服务技术规格、商务条件说明</w:t>
      </w:r>
      <w:r>
        <w:rPr>
          <w:rFonts w:hint="default" w:ascii="TimesNewRomanPS-BoldMT" w:hAnsi="TimesNewRomanPS-BoldMT" w:eastAsia="TimesNewRomanPS-BoldMT" w:cs="TimesNewRomanPS-BoldMT"/>
          <w:b/>
          <w:color w:val="000000"/>
          <w:kern w:val="0"/>
          <w:sz w:val="24"/>
          <w:szCs w:val="24"/>
          <w:lang w:val="en-US" w:eastAsia="zh-CN" w:bidi="ar"/>
        </w:rPr>
        <w:t>..........................................................</w:t>
      </w:r>
      <w:r>
        <w:rPr>
          <w:rFonts w:hint="eastAsia" w:ascii="宋体" w:hAnsi="宋体" w:eastAsia="宋体" w:cs="宋体"/>
          <w:b/>
          <w:color w:val="000000"/>
          <w:kern w:val="0"/>
          <w:sz w:val="24"/>
          <w:szCs w:val="24"/>
          <w:lang w:val="en-US" w:eastAsia="zh-CN" w:bidi="ar"/>
        </w:rPr>
        <w:t xml:space="preserve">10 </w:t>
      </w: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r>
        <w:rPr>
          <w:rFonts w:hint="eastAsia" w:ascii="宋体" w:hAnsi="宋体" w:eastAsia="宋体" w:cs="宋体"/>
          <w:b/>
          <w:color w:val="000000"/>
          <w:kern w:val="0"/>
          <w:sz w:val="24"/>
          <w:szCs w:val="24"/>
          <w:lang w:val="en-US" w:eastAsia="zh-CN" w:bidi="ar"/>
        </w:rPr>
        <w:t>第五章 谈判程序</w:t>
      </w:r>
      <w:r>
        <w:rPr>
          <w:rFonts w:hint="default" w:ascii="TimesNewRomanPS-BoldMT" w:hAnsi="TimesNewRomanPS-BoldMT" w:eastAsia="TimesNewRomanPS-BoldMT" w:cs="TimesNewRomanPS-BoldMT"/>
          <w:b/>
          <w:color w:val="000000"/>
          <w:kern w:val="0"/>
          <w:sz w:val="24"/>
          <w:szCs w:val="24"/>
          <w:lang w:val="en-US" w:eastAsia="zh-CN" w:bidi="ar"/>
        </w:rPr>
        <w:t>......................................................................................................</w:t>
      </w:r>
      <w:r>
        <w:rPr>
          <w:rFonts w:hint="eastAsia" w:ascii="宋体" w:hAnsi="宋体" w:eastAsia="宋体" w:cs="宋体"/>
          <w:b/>
          <w:color w:val="000000"/>
          <w:kern w:val="0"/>
          <w:sz w:val="24"/>
          <w:szCs w:val="24"/>
          <w:lang w:val="en-US" w:eastAsia="zh-CN" w:bidi="ar"/>
        </w:rPr>
        <w:t>16  第六章 响应文件（格式）</w:t>
      </w:r>
      <w:r>
        <w:rPr>
          <w:rFonts w:hint="default" w:ascii="TimesNewRomanPS-BoldMT" w:hAnsi="TimesNewRomanPS-BoldMT" w:eastAsia="TimesNewRomanPS-BoldMT" w:cs="TimesNewRomanPS-BoldMT"/>
          <w:b/>
          <w:color w:val="000000"/>
          <w:kern w:val="0"/>
          <w:sz w:val="24"/>
          <w:szCs w:val="24"/>
          <w:lang w:val="en-US" w:eastAsia="zh-CN" w:bidi="ar"/>
        </w:rPr>
        <w:t>......................................................................................</w:t>
      </w:r>
      <w:r>
        <w:rPr>
          <w:rFonts w:hint="eastAsia" w:ascii="宋体" w:hAnsi="宋体" w:eastAsia="宋体" w:cs="宋体"/>
          <w:b/>
          <w:color w:val="000000"/>
          <w:kern w:val="0"/>
          <w:sz w:val="24"/>
          <w:szCs w:val="24"/>
          <w:lang w:val="en-US" w:eastAsia="zh-CN" w:bidi="ar"/>
        </w:rPr>
        <w:t>24</w:t>
      </w: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p>
    <w:p>
      <w:pPr>
        <w:keepNext w:val="0"/>
        <w:keepLines w:val="0"/>
        <w:widowControl/>
        <w:suppressLineNumbers w:val="0"/>
        <w:ind w:firstLine="1968" w:firstLineChars="70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第一章 竞争性谈判邀请公告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邻水县中医医院拟将水污染源在线监测运维服务采购项目采用竞争性谈判方式进行采购， 特邀请合格的供应商参加该项目的竞争性谈判。 </w:t>
      </w:r>
    </w:p>
    <w:p>
      <w:pPr>
        <w:numPr>
          <w:ilvl w:val="0"/>
          <w:numId w:val="2"/>
        </w:numPr>
        <w:spacing w:after="156" w:afterLines="50" w:line="760" w:lineRule="exact"/>
        <w:jc w:val="both"/>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采购编号：邻中医采</w:t>
      </w:r>
      <w:r>
        <w:rPr>
          <w:rFonts w:hint="eastAsia" w:ascii="宋体" w:hAnsi="宋体"/>
          <w:b w:val="0"/>
          <w:bCs/>
          <w:color w:val="000000"/>
          <w:sz w:val="28"/>
          <w:szCs w:val="28"/>
        </w:rPr>
        <w:t>[201</w:t>
      </w:r>
      <w:r>
        <w:rPr>
          <w:rFonts w:hint="eastAsia" w:ascii="宋体" w:hAnsi="宋体"/>
          <w:b w:val="0"/>
          <w:bCs/>
          <w:color w:val="000000"/>
          <w:sz w:val="28"/>
          <w:szCs w:val="28"/>
          <w:lang w:val="en-US" w:eastAsia="zh-CN"/>
        </w:rPr>
        <w:t>9</w:t>
      </w:r>
      <w:r>
        <w:rPr>
          <w:rFonts w:hint="eastAsia" w:ascii="宋体" w:hAnsi="宋体"/>
          <w:b w:val="0"/>
          <w:bCs/>
          <w:color w:val="000000"/>
          <w:sz w:val="28"/>
          <w:szCs w:val="28"/>
        </w:rPr>
        <w:t xml:space="preserve">] </w:t>
      </w:r>
      <w:r>
        <w:rPr>
          <w:rFonts w:hint="eastAsia" w:ascii="宋体" w:hAnsi="宋体"/>
          <w:b w:val="0"/>
          <w:bCs/>
          <w:color w:val="000000"/>
          <w:sz w:val="28"/>
          <w:szCs w:val="28"/>
          <w:lang w:val="en-US" w:eastAsia="zh-CN"/>
        </w:rPr>
        <w:t>12</w:t>
      </w:r>
      <w:r>
        <w:rPr>
          <w:rFonts w:hint="eastAsia" w:ascii="宋体" w:hAnsi="宋体"/>
          <w:b w:val="0"/>
          <w:bCs/>
          <w:color w:val="000000"/>
          <w:sz w:val="28"/>
          <w:szCs w:val="28"/>
        </w:rPr>
        <w:t>号</w:t>
      </w:r>
      <w:r>
        <w:rPr>
          <w:rFonts w:hint="eastAsia" w:ascii="宋体" w:hAnsi="宋体"/>
          <w:b w:val="0"/>
          <w:bCs/>
          <w:color w:val="000000"/>
          <w:sz w:val="28"/>
          <w:szCs w:val="28"/>
        </w:rPr>
        <w:br w:type="textWrapping"/>
      </w:r>
      <w:r>
        <w:rPr>
          <w:rFonts w:hint="eastAsia" w:ascii="宋体" w:hAnsi="宋体"/>
          <w:b w:val="0"/>
          <w:bCs/>
          <w:color w:val="000000"/>
          <w:sz w:val="28"/>
          <w:szCs w:val="28"/>
        </w:rPr>
        <w:t>二、</w:t>
      </w:r>
      <w:r>
        <w:rPr>
          <w:rFonts w:hint="eastAsia" w:ascii="仿宋" w:hAnsi="仿宋" w:eastAsia="仿宋" w:cs="仿宋"/>
          <w:color w:val="000000"/>
          <w:kern w:val="0"/>
          <w:sz w:val="28"/>
          <w:szCs w:val="28"/>
          <w:lang w:val="en-US" w:eastAsia="zh-CN" w:bidi="ar"/>
        </w:rPr>
        <w:t>采购项目名称：邻水县中医医院水污染源在线监测运维服务</w:t>
      </w:r>
    </w:p>
    <w:p>
      <w:pPr>
        <w:numPr>
          <w:ilvl w:val="0"/>
          <w:numId w:val="2"/>
        </w:numPr>
        <w:spacing w:after="156" w:afterLines="50" w:line="760" w:lineRule="exact"/>
        <w:jc w:val="both"/>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采购项目内容：详见第四章</w:t>
      </w:r>
    </w:p>
    <w:p>
      <w:pPr>
        <w:keepNext w:val="0"/>
        <w:keepLines w:val="0"/>
        <w:widowControl/>
        <w:numPr>
          <w:ilvl w:val="0"/>
          <w:numId w:val="0"/>
        </w:numPr>
        <w:suppressLineNumbers w:val="0"/>
        <w:ind w:leftChars="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三、本项目采购预算：80000 元/年。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四、资金来源：医院自筹。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五、合格供应商应具备的资格条件：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1.1、在中华人民共和国境内注册并具有独立法人资格的合法企业，并具有独立 承担民事责任的能力（提供有效的营业执照、税务登记证、组织机构代码证副本 复印件，实行三证合一的提供副本复印件）。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1.2、具有良好的商业信誉或健全的财务会计制度（提供近一年度的财务状况报告）。（可提供承诺）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1.3、具有履行合同所必须的设备和专业技术能力（可提供承诺函）。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1.4、具有依法缴纳税收和社会保障资金的良好记录（提供近期社保和税收缴纳 证明）。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1.5、参加本次政府采购活动前三年内，在经营活动中没有重大违法违规记录（可提供承诺函）。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1.6、参加政府采购活动应具有良好的诚信行为（提供承诺函）； </w:t>
      </w:r>
    </w:p>
    <w:p>
      <w:pPr>
        <w:spacing w:line="520" w:lineRule="exact"/>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1.7、应具备所投标产品生产或经营的资格，有供货和服务能力（提供相应证明 材料如已履行的类似项目合同，并作出书面申明）。</w:t>
      </w:r>
    </w:p>
    <w:p>
      <w:pPr>
        <w:spacing w:line="520" w:lineRule="exact"/>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1.8、根据本项目特殊资格性条件：应具有水污染治理行业资格认证证书；具有环境污染治理设施运营资质证书。</w:t>
      </w:r>
    </w:p>
    <w:p>
      <w:pPr>
        <w:spacing w:line="520" w:lineRule="exac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 六</w:t>
      </w:r>
      <w:r>
        <w:rPr>
          <w:rFonts w:hint="eastAsia" w:ascii="仿宋" w:hAnsi="仿宋" w:eastAsia="仿宋" w:cs="仿宋"/>
          <w:b/>
          <w:sz w:val="28"/>
          <w:szCs w:val="28"/>
        </w:rPr>
        <w:t>、完成时间及地点：</w:t>
      </w:r>
      <w:r>
        <w:rPr>
          <w:rFonts w:hint="eastAsia" w:ascii="仿宋" w:hAnsi="仿宋" w:eastAsia="仿宋" w:cs="仿宋"/>
          <w:sz w:val="28"/>
          <w:szCs w:val="28"/>
        </w:rPr>
        <w:t>签订合同之日起</w:t>
      </w:r>
      <w:r>
        <w:rPr>
          <w:rFonts w:hint="eastAsia" w:ascii="仿宋" w:hAnsi="仿宋" w:eastAsia="仿宋" w:cs="仿宋"/>
          <w:sz w:val="28"/>
          <w:szCs w:val="28"/>
          <w:u w:val="single"/>
          <w:lang w:val="en-US" w:eastAsia="zh-CN"/>
        </w:rPr>
        <w:t>20</w:t>
      </w:r>
      <w:r>
        <w:rPr>
          <w:rFonts w:hint="eastAsia" w:ascii="仿宋" w:hAnsi="仿宋" w:eastAsia="仿宋" w:cs="仿宋"/>
          <w:sz w:val="28"/>
          <w:szCs w:val="28"/>
        </w:rPr>
        <w:t>日内，在邻水县中医医院内履行采购项目服务。</w:t>
      </w:r>
    </w:p>
    <w:p>
      <w:pPr>
        <w:spacing w:line="360" w:lineRule="auto"/>
        <w:rPr>
          <w:rFonts w:hint="eastAsia" w:ascii="仿宋" w:hAnsi="仿宋" w:eastAsia="仿宋" w:cs="仿宋"/>
          <w:b/>
          <w:sz w:val="28"/>
          <w:szCs w:val="28"/>
        </w:rPr>
      </w:pPr>
      <w:r>
        <w:rPr>
          <w:rFonts w:hint="eastAsia" w:ascii="仿宋" w:hAnsi="仿宋" w:eastAsia="仿宋" w:cs="仿宋"/>
          <w:b/>
          <w:sz w:val="28"/>
          <w:szCs w:val="28"/>
        </w:rPr>
        <w:t>七、</w:t>
      </w:r>
      <w:r>
        <w:rPr>
          <w:rFonts w:hint="eastAsia" w:ascii="仿宋" w:hAnsi="仿宋" w:eastAsia="仿宋" w:cs="仿宋"/>
          <w:b/>
          <w:bCs w:val="0"/>
          <w:sz w:val="28"/>
          <w:szCs w:val="28"/>
        </w:rPr>
        <w:t>验收及付款方式</w:t>
      </w:r>
      <w:r>
        <w:rPr>
          <w:rFonts w:hint="eastAsia" w:ascii="仿宋" w:hAnsi="仿宋" w:eastAsia="仿宋" w:cs="仿宋"/>
          <w:b w:val="0"/>
          <w:bCs/>
          <w:sz w:val="28"/>
          <w:szCs w:val="28"/>
        </w:rPr>
        <w:t>：按规定时限设备安装调试等完成并通过项目验收，符合环保相关标准要求，</w:t>
      </w:r>
      <w:r>
        <w:rPr>
          <w:rFonts w:hint="eastAsia" w:ascii="仿宋" w:hAnsi="仿宋" w:eastAsia="仿宋" w:cs="仿宋"/>
          <w:b w:val="0"/>
          <w:bCs/>
          <w:sz w:val="28"/>
          <w:szCs w:val="28"/>
          <w:lang w:val="en-US" w:eastAsia="zh-CN"/>
        </w:rPr>
        <w:t>60日内支付本年度总价的60％，余款40％满一年后付清，第二年及以后服务费每年支付2次，既6个月支付年度总价的50％</w:t>
      </w:r>
      <w:r>
        <w:rPr>
          <w:rFonts w:hint="eastAsia" w:ascii="仿宋" w:hAnsi="仿宋" w:eastAsia="仿宋" w:cs="仿宋"/>
          <w:kern w:val="0"/>
          <w:sz w:val="28"/>
          <w:szCs w:val="28"/>
        </w:rPr>
        <w:t>（中标供应商必须开具有效的正式发票）。</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八、本项目不接受联合体投标。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九、领取竞争性谈判文件时间：2019 年 7月 26 日至 7月 30 日（礼拜六，礼拜天 除外，每天上午 08:30-12:00，下午 15:30-18:00），供应商应在规定的时间内到指定地点领取本竞争性谈判文件，并登记备案，如在规定时间内未领取竞争 性谈判文件并登记备案的供应商均无资格参加该项目的竞争性谈判。 获取谈判文件时，供应商为法人或者其他组织的，只需提供单位介绍信、经办人 身份证明；供应商为自然人的，只需提供本人身份证明；并将相应材料给采购代 理机构留存。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七、领取竞争性谈判文件地点：邻水县中医医院后勤保障科。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八、供应商应提交的资格证明材料： </w:t>
      </w:r>
    </w:p>
    <w:p>
      <w:pPr>
        <w:keepNext w:val="0"/>
        <w:keepLines w:val="0"/>
        <w:widowControl/>
        <w:suppressLineNumbers w:val="0"/>
        <w:ind w:firstLine="560"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投标人持单位介绍信原件及有效身份证明文件原件、复印件；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以上资料身份证明文件带原件查验，采购机构留存加盖鲜章的身份证明文件 复印件及单位介绍信原件。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九、本竞争性谈判文件售价：人民币/ 元/份（文件售后不退，谈判资格不能 转让），并请自带 U 盘拷贝谈判文件。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十、谈判保证金，供应商递交响应文件前，应提交规定数额的谈判保证金，保证 金金额为人民币 2000 元（大写：贰仟元整）；谈判保证金递交截止时间为 2019 年 8 月 8 日下午 15:00 前。</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交款方式：谈判保证金可以以现金方式现场缴纳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十一、递交竞争性谈判响应文件截止时间：2017 年 8 月 8日下午 15：00整，供应商 应于递交响应文件截止日期之前将响应文件送达谈判地点，逾期送达或没有密封 的将被拒绝。 </w:t>
      </w:r>
    </w:p>
    <w:p>
      <w:pPr>
        <w:keepNext w:val="0"/>
        <w:keepLines w:val="0"/>
        <w:widowControl/>
        <w:suppressLineNumbers w:val="0"/>
        <w:jc w:val="left"/>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十二、谈判时间、地点：2019 年 8 月 8 日下午15：00，邻水县中医医院门诊楼5楼会议室</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十三、联系人及联系电话</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采购人：邻水县中医医院 </w:t>
      </w:r>
    </w:p>
    <w:p>
      <w:pPr>
        <w:keepNext w:val="0"/>
        <w:keepLines w:val="0"/>
        <w:widowControl/>
        <w:suppressLineNumbers w:val="0"/>
        <w:jc w:val="left"/>
        <w:rPr>
          <w:rFonts w:hint="default" w:ascii="仿宋" w:hAnsi="仿宋" w:eastAsia="仿宋" w:cs="仿宋"/>
          <w:sz w:val="28"/>
          <w:szCs w:val="28"/>
          <w:lang w:val="en-US"/>
        </w:rPr>
      </w:pPr>
      <w:r>
        <w:rPr>
          <w:rFonts w:hint="eastAsia" w:ascii="仿宋" w:hAnsi="仿宋" w:eastAsia="仿宋" w:cs="仿宋"/>
          <w:color w:val="000000"/>
          <w:kern w:val="0"/>
          <w:sz w:val="28"/>
          <w:szCs w:val="28"/>
          <w:lang w:val="en-US" w:eastAsia="zh-CN" w:bidi="ar"/>
        </w:rPr>
        <w:t>地 址：邻水县中鼎屏镇瑞彩路4号</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联系人：袁先生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联系电话：0826-3239504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第二章 谈判须知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1、适用范围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本竞争性谈判文件仅适用于本谈判邀请书中所叙述项目的采购。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2、定义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2.1“采购人”系邻水县中医医院。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2.2 “供应商”系指响应竞争性谈判文件要求，并提交报价文件的法人、其 他组织或者自然人。 </w:t>
      </w:r>
    </w:p>
    <w:p>
      <w:pPr>
        <w:keepNext w:val="0"/>
        <w:keepLines w:val="0"/>
        <w:widowControl/>
        <w:suppressLineNumbers w:val="0"/>
        <w:jc w:val="left"/>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2.3 “采购代理机构” 系指根据采购人的委托依法办理采购事宜的采购机 构。本次竞争性谈判的采购代理机构是邻水县中医医院</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3、本项目合格的供应商资格条件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3.1 供应商应具备第一章第五节所述的资格条件。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4、充分、公平竞争保障措施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4.1 供应商家数计算。若响应产品为单一品目的，响应产品为同一品牌同一 型号的视为一家，如果有多家供应商以同一品牌同一型号产品参加响应的，应作 为一个供应商计算，以符合谈判文件要求的最低报价者为该品牌及型号产品的唯 一有效供应商。若响应产品包含多个产品标的，响应产品价值超过 60%为同一品牌 同一型号的视为一家，如果有多家供应商以超过响应总价 60%的同一品牌同一型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号产品参加响应的，应作为一个供应商计算，以符合谈判文件要求的最低报价者 为该品牌及型号产品的唯一有效供应商。符合谈判文件要求的最低报价者有多个 的，由采购人自主采取公平、择优的方式选择确定一个参加评审的供应商，其他 供应商响应文件无效。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4.2 利害关系供应商处理。单位负责人为同一人或者存在直接控股、管理关 系的不同供应商不得参加同一合同项下的政府采购活动。采购项目实行资格预审 的，单位负责人为同一人或者存在直接控股、管理关系的不同供应商可以参加资 格预审，但只能由供应商确定其中一家符合条件的供应商参加后续的政府采购活 动，否则，其响应文件作为无效处理。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4.3 前期参与供应商处理。为采购项目提供整体设计、规范编制或者项目管 理、监理、检测等服务的供应商，不得再参加该采购项目的其他采购活动。供应 商为采购人、采购代理机构在确定采购需求、编制采购文件过程中提供咨询论证， 其提供的咨询论证意见成为采购文件中规定的供应商资格条件、技术服务商务要求、评审因素和标准、政府采购合同等实质性内容条款的，视同为采购项目提 供规范编制。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4.4 利害关系代理人处理。2 家以上的供应商不得在同一合同项下的采购项 目中，同时委托同一个自然人、同一家庭的人员、同一单位的人员作为其代理人， 否则，其响应文件作为无效处理。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4.5 供应商的失信惩罚。供应商在编制的响应文件中，应当就自己的诚信情 况在响应文件中进行承诺。对记入诚信档案的且在有效期内的供应商，在参加政 府采购活动中评审时实行 6%/次的报价加成，无限制累加制，予以惩戒。 供应商的失信行为受到行政处罚或司法惩处的，不再对其以价格加成的方式 进行惩戒。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5、竞争性谈判采购费用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无论竞争性谈判采购的结果如何，供应商自行承担所有与参加竞争性谈判有 关的全部费用。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6、竞争性谈判文件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6.1 竞争性谈判文件是采购人用以阐明所需提供的服务、竞争性谈判采购的 程序和评定成交供应商的标准、合同草案条款等内容的文件。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6.2 竞争性谈判文件的组成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（1）竞争性谈判邀请通知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（2）谈判须知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（3）供应商资格证明文件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（4）合同草案条款（参考文本）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（5）谈判程序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（6）服务及商务要求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（7）响应文件格式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（8）谈判过程中形成的书面变更通知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6.3 供应商应详细阅读竞争性谈判文件的全部内容，并实质性响应竞争性谈 判文件的要求。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6.4 提交首次响应文件截止之日前，采购人、采购代理机构可以对已发出的 谈判文件进行必要的澄清或者修改，澄清或者修改的内容作为谈判文件的组成部 分。澄清或者修改的内容可能影响响应文件编制的，采购人、采购代理机构应当 在提交首次响应文件截止时间至少 3 个工作日前，以书面形式通知所有获取谈判 文件的供应商；不足 3 个工作日的，采购人、采购代理机构应当顺延提交首次响 应文件截止时间。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7、响应文件</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7.1 响应文件的语言及计量单位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7.1.1 供应商提交的响应文件以及供应商与采购代理机构就有关响应的所 有来往书面文件均须使用中文。响应文件中如附有外文资料，主要部分对应翻译 成中文并加盖供应商公章后附在相关外文资料后面。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7.1.2 翻译的中文资料与外文资料如果出现差异和矛盾时，以中文为准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7.1.3 如因未翻译而造成的一切后果，由供应商承担。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7.1.4 除技术规格及要求中另有规定外，本采购项下的响应均采用国家法定 的计量单位。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7.2 供应商须按竞争性谈判文件的要求编写响应文件，对竞争性谈判文件提 出的要求和条件做出实质性响应。响应文件应包括但不限于下列内容：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文件一：资格性响应文件 符合谈判文件第三章规定的资格证明材料。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文件二：其他响应文件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包括响应函、技术要求响应/偏离表、商务要求响应/偏离表、质量保证和售 后服务承诺、服务计划及承诺、报价组成因素（参与响应的货物或服务清单）等 文件。</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8、报价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8.1 所有报价一律以人民币报价。采购人不接受任何非人民币币种的报价。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8.2 供应商报价应为完成本竞争性谈判文件中所要求的货物/服务/工程所 应包括内容的所有价格。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8.3 承诺投标报价不超近一年同品牌、同型号产品政府采购中标价格 15%， 否则中标结果无效。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8.4 本次谈判采购采用现场报价，通过资格审查的谈判供应商按谈判小组要 求进行报价。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9、响应文件的递交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9.1 响应文件分资格性响应文件和其他响应文件两部分，应分册密封装订。 资格性响应文件用于谈判小组资格审查，其他响应文件用于供应商与谈判小组谈 判。</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9.2 供应商递交的响应文件为一式三份，其中正本壹份，副本两份。响应文 件正本应用不褪色的墨水中文书写或打印，并装订成册。并在响应文件封面标明 项目名称、采购编号、供应商名称以及 “正本”、“副本”字样。若正本和副 本有不一致的内容，以正本书面响应文件为准。</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9.3 响应文件应由供应商法定代表人/单位负责人或经正式授权的供应商 代表按竞争性谈判文件的要求签字或加盖公章。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9.4 本次采购要求的复印件是指对图文进行复制后的文件，包括扫描、复印、 影印等方式复制的材料。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9.5 在递交响应文件截止时间后送达的任何响应文件将被拒绝。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10、谈判保证金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10.1 供应商应提交一笔不少于本竞争性谈判文件规定的人民币金额的谈 判保证金。成交供应商的谈判保证金，在合同签订生效并按规定交纳了履约保证 金后五个工作日内全额退还，未成交者的谈判保证金转账退还。 谈判保证金是为了保护采购人免遭因供应商的行为而蒙受损失，采购人在因 供应商的行为受到损害时可根据第10.4条的规定不予退还供应商的谈判保证金。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10.2 未按规定时间和数额交纳谈判保证金的响应文件，应视为非响应性响 应予以拒绝。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10.3 未成交人的谈判保证金，将在成交通知书发出后五个工作日内全额退 还。 成交人的谈判保证金在成交人与采购人签订采购合同并按规定交纳了履约 保证金后 5 个工作日内退还（非现金形式）。退还时请返还采购合同（原件）1 份及经采购方盖章确认的履约保证金缴纳凭证复印件（如要求）后，到本采购代 理机构财务部办理。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10.4 下列任何情况发生时，谈判保证金将被不予退还：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10.4.1 供应商在提交响应文件截止时间后撤回响应文件的；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10.4.2 供应商在采购活动中有违法、违纪行为的；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10.4.3 成交供应商无正当理由不与采购人签订政府采购合同的；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10.4.4 成交供应商未按谈判文件要求交纳履约保证金的；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10.4.5 供应商在响应文件中提供虚假材料的；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10.4.6 成交供应商未交纳成交服务费的。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注：已提交响应文件的供应商，在提交最后报价之前，可以根据谈判情况退 出谈判。采购代理机构应当退还退出谈判的供应商的谈判保证金。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11、知识产权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11.1 供应商应保证在本项目使用的任何产品和服务（包括部分使用）时， 不会产生因第三方提出侵犯其专利权、商标权或其它知识产权而引起的法律和经 济纠纷，如因专利权、商标权或其它知识产权而引起法律和经济纠纷，由供应商 承担所有相关责任。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11.2 采购人享有本项目实施过程中产生的知识成果及知识产权。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11.3 供应商如欲在项目实施过程中采用自有知识成果，需在响应文件中声明，并提供相关知识产权证明文件。使用该知识成果后，供应商需提供开发接 口和开发手册等技术文档，并承诺提供无限期技术支持，采购人享有永久使用权。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11.4 如采用供应商所不拥有的知识产权，则在报价中必须包括合法获取该 知识产权的相关费用。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12、确定成交候选人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12.1 采购代理机构应当在评审结束后 2 个工作日内将评审报告送采购人确 认。</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12.2 采购人应当在收到评审报告后 5 个工作日内，从评审报告提出的成交 候选人中，根据质量和服务均能满足采购文件实质性响应要求且最后报价最低的 原则确定成交供应商。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13、成交通知书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采购代理机构在成交供应商确定后 2 个工作日内，在邻水县中医医院网上公告 成交结果，同时向成交供应商发出成交通知书。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14、签订合同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14.1 成交供应商应在领取成交通知书后 30 日内，按照谈判文件、响应文件 以及谈判过程中确定的事项与采购人签订采购合同。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14.2 竞争性谈判文件、供应商提交的响应文件、谈判中的最终报价、供应 商承诺书、成交通知书等均成为有法律约束力的合同的组成内容。 </w:t>
      </w:r>
    </w:p>
    <w:p>
      <w:pPr>
        <w:keepNext w:val="0"/>
        <w:keepLines w:val="0"/>
        <w:widowControl/>
        <w:suppressLineNumbers w:val="0"/>
        <w:jc w:val="left"/>
        <w:rPr>
          <w:rFonts w:hint="eastAsia" w:ascii="仿宋" w:hAnsi="仿宋" w:eastAsia="仿宋" w:cs="仿宋"/>
          <w:sz w:val="28"/>
          <w:szCs w:val="28"/>
        </w:rPr>
      </w:pP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第三章 供应商资格证明文件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一、供应商应提交的资格证明材料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（1）具有独立承担民事责任的能力。（注：①供应商若为企业法人：提供“统 一社会信用代码营业执照”；未换证的提供“营业执照、税务登记证、组织机构 代码证或三证合一的营业执照”；②若为事业法人：提供“统一社会信用代码法 人登记证书”；未换证的提交“事业法人登记证书、组织机构代码证”；③若为 其他组织：提供“对应主管部门颁发的准许执业证明文件或营业执照”；④若为自然人：提供“身份证明文件”。以上均提供复印件）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（2）具备健全的财务会计制度的证明材料。｛注：①可提供 2017 或 2018 年 度经审计的财务报告复印件（包含审计报告和审计报告中所涉及的财务报表和报表附注），②也可提供 2017 或 2018年度供应商内部的财务报表复印件（至少包 含资产负债表），③也可提供距文件递交截止日一年内银行出具的资信证明（复 印件），④供应商注册时间至文件递交截止日不足一年的，也可提供在工商备案的公司章程（复印件）。｝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（3）具备良好商业信誉的证明材料。（可提供承诺函）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（4）具有依法缴纳税收和社会保障资金的良好记录（可提供承诺函）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（5）具备履行合同所必需的设备和专业技术能力的证明材料（可提供承诺函）；</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（6）参加政府采购活动前 3 年内在经营活动中没有重大违法记录的承诺函； </w:t>
      </w:r>
    </w:p>
    <w:p>
      <w:pPr>
        <w:keepNext w:val="0"/>
        <w:keepLines w:val="0"/>
        <w:widowControl/>
        <w:suppressLineNumbers w:val="0"/>
        <w:jc w:val="left"/>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 xml:space="preserve">（7）具备所投标产品生产或经营的资格，有供货和服务能力（提供相应证明 材料如已履行的类似项目合同，并作出书面申明）（可提供承诺函）； </w:t>
      </w:r>
    </w:p>
    <w:p>
      <w:pPr>
        <w:keepNext w:val="0"/>
        <w:keepLines w:val="0"/>
        <w:widowControl/>
        <w:suppressLineNumbers w:val="0"/>
        <w:jc w:val="left"/>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(8)根据本项目特殊资格性条件：应具有水污染治理行业资格认证证书；具有环境污染治理设施运营资质证书。</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（9) 法定代表人/单位负责人授权书原件（①附法定代表人/单位负责人身份 证明文件复印件；②法定代表人/单位负责人参与谈判时不需要提供）；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（10）被授权代表的身份证明文件复印件；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（11）谈判保证金缴纳凭证。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说明：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1）供应商提供的以上资格证明材料为复印件的均应加盖供应商公章（身份 证明文件复印件无需加盖公章）。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2）供应商应对其所提供的资格证明材料来源的合法性、真实性负责。</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r>
        <w:rPr>
          <w:rFonts w:hint="eastAsia" w:ascii="仿宋" w:hAnsi="仿宋" w:eastAsia="仿宋" w:cs="仿宋"/>
          <w:b/>
          <w:color w:val="000000"/>
          <w:kern w:val="0"/>
          <w:sz w:val="28"/>
          <w:szCs w:val="28"/>
          <w:lang w:val="en-US" w:eastAsia="zh-CN" w:bidi="ar"/>
        </w:rPr>
        <w:t xml:space="preserve">第四章 服务项目内容、技术规格、商务条件说明 </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r>
        <w:rPr>
          <w:rFonts w:hint="eastAsia" w:ascii="仿宋" w:hAnsi="仿宋" w:eastAsia="仿宋" w:cs="仿宋"/>
          <w:b/>
          <w:color w:val="000000"/>
          <w:kern w:val="0"/>
          <w:sz w:val="28"/>
          <w:szCs w:val="28"/>
          <w:lang w:val="en-US" w:eastAsia="zh-CN" w:bidi="ar"/>
        </w:rPr>
        <w:t>1、项目概述：</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r>
        <w:rPr>
          <w:rFonts w:hint="eastAsia" w:ascii="仿宋" w:hAnsi="仿宋" w:eastAsia="仿宋" w:cs="仿宋"/>
          <w:b/>
          <w:color w:val="000000"/>
          <w:kern w:val="0"/>
          <w:sz w:val="28"/>
          <w:szCs w:val="28"/>
          <w:lang w:val="en-US" w:eastAsia="zh-CN" w:bidi="ar"/>
        </w:rPr>
        <w:t>(1)、邻水县中医医院水污染源在线监测运维服务</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r>
        <w:rPr>
          <w:rFonts w:hint="eastAsia" w:ascii="仿宋" w:hAnsi="仿宋" w:eastAsia="仿宋" w:cs="仿宋"/>
          <w:b/>
          <w:color w:val="000000"/>
          <w:kern w:val="0"/>
          <w:sz w:val="28"/>
          <w:szCs w:val="28"/>
          <w:lang w:val="en-US" w:eastAsia="zh-CN" w:bidi="ar"/>
        </w:rPr>
        <w:t>(2)、服务最高限价：80000 元/年</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r>
        <w:rPr>
          <w:rFonts w:hint="eastAsia" w:ascii="仿宋" w:hAnsi="仿宋" w:eastAsia="仿宋" w:cs="仿宋"/>
          <w:b/>
          <w:color w:val="000000"/>
          <w:kern w:val="0"/>
          <w:sz w:val="28"/>
          <w:szCs w:val="28"/>
          <w:lang w:val="en-US" w:eastAsia="zh-CN" w:bidi="ar"/>
        </w:rPr>
        <w:t>(3)、服务期限： 5  年</w:t>
      </w:r>
    </w:p>
    <w:p>
      <w:pPr>
        <w:keepNext w:val="0"/>
        <w:keepLines w:val="0"/>
        <w:widowControl/>
        <w:suppressLineNumbers w:val="0"/>
        <w:jc w:val="left"/>
        <w:rPr>
          <w:rFonts w:hint="default" w:ascii="仿宋" w:hAnsi="仿宋" w:eastAsia="仿宋" w:cs="仿宋"/>
          <w:b/>
          <w:color w:val="000000"/>
          <w:kern w:val="0"/>
          <w:sz w:val="28"/>
          <w:szCs w:val="28"/>
          <w:lang w:val="en-US" w:eastAsia="zh-CN" w:bidi="ar"/>
        </w:rPr>
      </w:pPr>
      <w:r>
        <w:rPr>
          <w:rFonts w:hint="eastAsia" w:ascii="仿宋" w:hAnsi="仿宋" w:eastAsia="仿宋" w:cs="仿宋"/>
          <w:b/>
          <w:color w:val="000000"/>
          <w:kern w:val="0"/>
          <w:sz w:val="28"/>
          <w:szCs w:val="28"/>
          <w:lang w:val="en-US" w:eastAsia="zh-CN" w:bidi="ar"/>
        </w:rPr>
        <w:t>2、商务要求</w:t>
      </w:r>
    </w:p>
    <w:p>
      <w:pPr>
        <w:spacing w:line="520" w:lineRule="exact"/>
        <w:rPr>
          <w:rFonts w:hint="eastAsia" w:ascii="仿宋" w:hAnsi="仿宋" w:eastAsia="仿宋" w:cs="仿宋"/>
          <w:sz w:val="28"/>
          <w:szCs w:val="28"/>
          <w:lang w:val="en-US" w:eastAsia="zh-CN"/>
        </w:rPr>
      </w:pPr>
      <w:r>
        <w:rPr>
          <w:rFonts w:hint="eastAsia" w:ascii="仿宋" w:hAnsi="仿宋" w:eastAsia="仿宋" w:cs="仿宋"/>
          <w:b/>
          <w:sz w:val="28"/>
          <w:szCs w:val="28"/>
          <w:lang w:val="en-US" w:eastAsia="zh-CN"/>
        </w:rPr>
        <w:t>(1)、</w:t>
      </w:r>
      <w:r>
        <w:rPr>
          <w:rFonts w:hint="eastAsia" w:ascii="仿宋" w:hAnsi="仿宋" w:eastAsia="仿宋" w:cs="仿宋"/>
          <w:b/>
          <w:sz w:val="28"/>
          <w:szCs w:val="28"/>
        </w:rPr>
        <w:t>服务时间及地点：</w:t>
      </w:r>
      <w:r>
        <w:rPr>
          <w:rFonts w:hint="eastAsia" w:ascii="仿宋" w:hAnsi="仿宋" w:eastAsia="仿宋" w:cs="仿宋"/>
          <w:sz w:val="28"/>
          <w:szCs w:val="28"/>
        </w:rPr>
        <w:t>签订合同之日起</w:t>
      </w:r>
      <w:r>
        <w:rPr>
          <w:rFonts w:hint="eastAsia" w:ascii="仿宋" w:hAnsi="仿宋" w:eastAsia="仿宋" w:cs="仿宋"/>
          <w:sz w:val="28"/>
          <w:szCs w:val="28"/>
          <w:u w:val="single"/>
          <w:lang w:val="en-US" w:eastAsia="zh-CN"/>
        </w:rPr>
        <w:t>20</w:t>
      </w:r>
      <w:r>
        <w:rPr>
          <w:rFonts w:hint="eastAsia" w:ascii="仿宋" w:hAnsi="仿宋" w:eastAsia="仿宋" w:cs="仿宋"/>
          <w:sz w:val="28"/>
          <w:szCs w:val="28"/>
        </w:rPr>
        <w:t>日内，在邻水县中医医院内履行采购项目服务。每月不少于</w:t>
      </w:r>
      <w:r>
        <w:rPr>
          <w:rFonts w:hint="eastAsia" w:ascii="仿宋" w:hAnsi="仿宋" w:eastAsia="仿宋" w:cs="仿宋"/>
          <w:sz w:val="28"/>
          <w:szCs w:val="28"/>
          <w:lang w:val="en-US" w:eastAsia="zh-CN"/>
        </w:rPr>
        <w:t>2次现场维护确保设备正常运行和水污染源达标排放。</w:t>
      </w:r>
    </w:p>
    <w:p>
      <w:pPr>
        <w:spacing w:line="360" w:lineRule="auto"/>
        <w:rPr>
          <w:rFonts w:hint="eastAsia" w:ascii="仿宋" w:hAnsi="仿宋" w:eastAsia="仿宋" w:cs="仿宋"/>
          <w:b/>
          <w:sz w:val="28"/>
          <w:szCs w:val="28"/>
        </w:rPr>
      </w:pPr>
      <w:r>
        <w:rPr>
          <w:rFonts w:hint="eastAsia" w:ascii="仿宋" w:hAnsi="仿宋" w:eastAsia="仿宋" w:cs="仿宋"/>
          <w:b/>
          <w:bCs w:val="0"/>
          <w:sz w:val="28"/>
          <w:szCs w:val="28"/>
          <w:lang w:val="en-US" w:eastAsia="zh-CN"/>
        </w:rPr>
        <w:t>(2)</w:t>
      </w:r>
      <w:r>
        <w:rPr>
          <w:rFonts w:hint="eastAsia" w:ascii="仿宋" w:hAnsi="仿宋" w:eastAsia="仿宋" w:cs="仿宋"/>
          <w:b/>
          <w:bCs w:val="0"/>
          <w:sz w:val="28"/>
          <w:szCs w:val="28"/>
        </w:rPr>
        <w:t>验收及付款方式</w:t>
      </w:r>
      <w:r>
        <w:rPr>
          <w:rFonts w:hint="eastAsia" w:ascii="仿宋" w:hAnsi="仿宋" w:eastAsia="仿宋" w:cs="仿宋"/>
          <w:b w:val="0"/>
          <w:bCs/>
          <w:sz w:val="28"/>
          <w:szCs w:val="28"/>
        </w:rPr>
        <w:t>：按规定时限设备安装调试等完成并通过项目验收，符合环保相关标准要求，</w:t>
      </w:r>
      <w:r>
        <w:rPr>
          <w:rFonts w:hint="eastAsia" w:ascii="仿宋" w:hAnsi="仿宋" w:eastAsia="仿宋" w:cs="仿宋"/>
          <w:b w:val="0"/>
          <w:bCs/>
          <w:sz w:val="28"/>
          <w:szCs w:val="28"/>
          <w:lang w:val="en-US" w:eastAsia="zh-CN"/>
        </w:rPr>
        <w:t>60日内支付本年度总价的60％，余款40％满一年后付清，第二年及以后服务费每年支付2次，既6个月支付年度总价的50％</w:t>
      </w:r>
      <w:r>
        <w:rPr>
          <w:rFonts w:hint="eastAsia" w:ascii="仿宋" w:hAnsi="仿宋" w:eastAsia="仿宋" w:cs="仿宋"/>
          <w:kern w:val="0"/>
          <w:sz w:val="28"/>
          <w:szCs w:val="28"/>
        </w:rPr>
        <w:t>（中标供应商必须开具有效的正式发票）。</w:t>
      </w:r>
    </w:p>
    <w:p>
      <w:pPr>
        <w:spacing w:after="50" w:line="420" w:lineRule="exact"/>
        <w:rPr>
          <w:rFonts w:hint="eastAsia"/>
          <w:b/>
          <w:sz w:val="28"/>
          <w:szCs w:val="28"/>
        </w:rPr>
      </w:pPr>
      <w:r>
        <w:rPr>
          <w:rFonts w:hint="eastAsia"/>
          <w:b/>
          <w:sz w:val="28"/>
          <w:szCs w:val="28"/>
          <w:lang w:val="en-US" w:eastAsia="zh-CN"/>
        </w:rPr>
        <w:t>3、</w:t>
      </w:r>
      <w:r>
        <w:rPr>
          <w:rFonts w:hint="eastAsia"/>
          <w:b/>
          <w:sz w:val="28"/>
          <w:szCs w:val="28"/>
        </w:rPr>
        <w:t>服务内容要求：</w:t>
      </w:r>
    </w:p>
    <w:p>
      <w:pPr>
        <w:spacing w:after="50" w:line="420" w:lineRule="exact"/>
        <w:ind w:firstLine="482" w:firstLineChars="200"/>
        <w:rPr>
          <w:rFonts w:hint="eastAsia"/>
          <w:b/>
          <w:sz w:val="24"/>
        </w:rPr>
      </w:pPr>
      <w:r>
        <w:rPr>
          <w:rFonts w:hint="eastAsia"/>
          <w:b/>
          <w:sz w:val="24"/>
          <w:lang w:val="en-US" w:eastAsia="zh-CN"/>
        </w:rPr>
        <w:t>(</w:t>
      </w:r>
      <w:r>
        <w:rPr>
          <w:rFonts w:hint="eastAsia"/>
          <w:b/>
          <w:sz w:val="24"/>
        </w:rPr>
        <w:t>1</w:t>
      </w:r>
      <w:r>
        <w:rPr>
          <w:rFonts w:hint="eastAsia"/>
          <w:b/>
          <w:sz w:val="24"/>
          <w:lang w:val="en-US" w:eastAsia="zh-CN"/>
        </w:rPr>
        <w:t>)</w:t>
      </w:r>
      <w:r>
        <w:rPr>
          <w:rFonts w:hint="eastAsia"/>
          <w:b/>
          <w:sz w:val="24"/>
        </w:rPr>
        <w:t>、</w:t>
      </w:r>
      <w:r>
        <w:rPr>
          <w:rFonts w:hint="eastAsia"/>
          <w:sz w:val="24"/>
        </w:rPr>
        <w:t>水污染在线监测整体</w:t>
      </w:r>
      <w:r>
        <w:rPr>
          <w:rFonts w:hint="eastAsia"/>
          <w:b w:val="0"/>
          <w:bCs/>
          <w:sz w:val="24"/>
        </w:rPr>
        <w:t>外包服务（含相关设备、配件、试剂耗材、废液处置、人工服务、设备联网、组织验收、数据上传）</w:t>
      </w:r>
    </w:p>
    <w:p>
      <w:pPr>
        <w:spacing w:after="50" w:line="420" w:lineRule="exact"/>
        <w:ind w:firstLine="480" w:firstLineChars="200"/>
        <w:rPr>
          <w:rFonts w:hint="eastAsia"/>
          <w:sz w:val="24"/>
        </w:rPr>
      </w:pPr>
      <w:r>
        <w:rPr>
          <w:rFonts w:hint="eastAsia"/>
          <w:sz w:val="24"/>
        </w:rPr>
        <w:t>根据国家环境保护局第</w:t>
      </w:r>
      <w:r>
        <w:rPr>
          <w:rFonts w:hint="eastAsia"/>
          <w:sz w:val="24"/>
          <w:lang w:val="en-US" w:eastAsia="zh-CN"/>
        </w:rPr>
        <w:t>28号令</w:t>
      </w:r>
      <w:r>
        <w:rPr>
          <w:rFonts w:hint="eastAsia" w:ascii="宋体" w:hAnsi="宋体" w:eastAsia="宋体" w:cs="宋体"/>
          <w:sz w:val="24"/>
          <w:lang w:val="en-US" w:eastAsia="zh-CN"/>
        </w:rPr>
        <w:t>《污染源自动监控管理办法》、广安市环境保护局[</w:t>
      </w:r>
      <w:r>
        <w:rPr>
          <w:rFonts w:hint="eastAsia" w:ascii="宋体" w:hAnsi="宋体" w:cs="宋体"/>
          <w:sz w:val="24"/>
          <w:lang w:val="en-US" w:eastAsia="zh-CN"/>
        </w:rPr>
        <w:t>2018</w:t>
      </w:r>
      <w:r>
        <w:rPr>
          <w:rFonts w:hint="eastAsia" w:ascii="宋体" w:hAnsi="宋体" w:eastAsia="宋体" w:cs="宋体"/>
          <w:sz w:val="24"/>
          <w:lang w:val="en-US" w:eastAsia="zh-CN"/>
        </w:rPr>
        <w:t>]</w:t>
      </w:r>
      <w:r>
        <w:rPr>
          <w:rFonts w:hint="eastAsia" w:ascii="宋体" w:hAnsi="宋体" w:cs="宋体"/>
          <w:sz w:val="24"/>
          <w:lang w:val="en-US" w:eastAsia="zh-CN"/>
        </w:rPr>
        <w:t>19号</w:t>
      </w:r>
      <w:r>
        <w:rPr>
          <w:rFonts w:hint="eastAsia" w:ascii="宋体" w:hAnsi="宋体" w:eastAsia="宋体" w:cs="宋体"/>
          <w:sz w:val="24"/>
          <w:lang w:val="en-US" w:eastAsia="zh-CN"/>
        </w:rPr>
        <w:t>文件要求，为了保证系统能够长期稳定运行，有效的掌握污染源的状况并达标排放，确保在线监测系统的正常运行和数据采集及时准确上报，拟将该项目外包给有相关专业资质的运维公司管理，具体要求如下：</w:t>
      </w:r>
    </w:p>
    <w:p>
      <w:pPr>
        <w:pStyle w:val="5"/>
        <w:numPr>
          <w:ilvl w:val="0"/>
          <w:numId w:val="0"/>
        </w:numPr>
        <w:spacing w:line="360" w:lineRule="auto"/>
        <w:ind w:firstLine="480" w:firstLineChars="200"/>
        <w:rPr>
          <w:rFonts w:hint="eastAsia" w:ascii="Times New Roman" w:hAnsi="Times New Roman"/>
          <w:sz w:val="24"/>
          <w:szCs w:val="24"/>
          <w:lang w:val="en-US" w:eastAsia="zh-CN"/>
        </w:rPr>
      </w:pPr>
      <w:r>
        <w:rPr>
          <w:rFonts w:hint="eastAsia" w:ascii="Times New Roman" w:hAnsi="Times New Roman"/>
          <w:sz w:val="24"/>
          <w:szCs w:val="24"/>
          <w:lang w:val="en-US" w:eastAsia="zh-CN"/>
        </w:rPr>
        <w:t>(</w:t>
      </w:r>
      <w:r>
        <w:rPr>
          <w:rFonts w:hint="eastAsia"/>
          <w:sz w:val="24"/>
          <w:szCs w:val="24"/>
          <w:lang w:val="en-US" w:eastAsia="zh-CN"/>
        </w:rPr>
        <w:t>2</w:t>
      </w:r>
      <w:r>
        <w:rPr>
          <w:rFonts w:hint="eastAsia" w:ascii="Times New Roman" w:hAnsi="Times New Roman"/>
          <w:sz w:val="24"/>
          <w:szCs w:val="24"/>
          <w:lang w:val="en-US" w:eastAsia="zh-CN"/>
        </w:rPr>
        <w:t>.)仪器设备清单</w:t>
      </w:r>
    </w:p>
    <w:p>
      <w:pPr>
        <w:pStyle w:val="5"/>
        <w:numPr>
          <w:ilvl w:val="0"/>
          <w:numId w:val="0"/>
        </w:numPr>
        <w:spacing w:line="360" w:lineRule="auto"/>
        <w:rPr>
          <w:rFonts w:hint="eastAsia" w:ascii="Times New Roman" w:hAnsi="Times New Roman"/>
          <w:sz w:val="24"/>
          <w:szCs w:val="24"/>
          <w:lang w:val="en-US" w:eastAsia="zh-CN"/>
        </w:rPr>
      </w:pPr>
    </w:p>
    <w:tbl>
      <w:tblPr>
        <w:tblStyle w:val="7"/>
        <w:tblW w:w="852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81"/>
        <w:gridCol w:w="2646"/>
        <w:gridCol w:w="2094"/>
        <w:gridCol w:w="810"/>
        <w:gridCol w:w="6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2281" w:type="dxa"/>
            <w:vAlign w:val="center"/>
          </w:tcPr>
          <w:p>
            <w:pPr>
              <w:pStyle w:val="5"/>
              <w:jc w:val="center"/>
              <w:rPr>
                <w:rFonts w:ascii="Times New Roman" w:hAnsi="Times New Roman"/>
                <w:iCs/>
                <w:lang w:val="zh-CN"/>
              </w:rPr>
            </w:pPr>
            <w:r>
              <w:rPr>
                <w:rFonts w:ascii="Times New Roman" w:hAnsi="宋体"/>
                <w:iCs/>
                <w:lang w:val="zh-CN"/>
              </w:rPr>
              <w:t>名称</w:t>
            </w:r>
          </w:p>
        </w:tc>
        <w:tc>
          <w:tcPr>
            <w:tcW w:w="2646" w:type="dxa"/>
            <w:vAlign w:val="center"/>
          </w:tcPr>
          <w:p>
            <w:pPr>
              <w:pStyle w:val="5"/>
              <w:jc w:val="center"/>
              <w:rPr>
                <w:rFonts w:ascii="Times New Roman" w:hAnsi="Times New Roman"/>
                <w:iCs/>
                <w:lang w:val="zh-CN"/>
              </w:rPr>
            </w:pPr>
            <w:r>
              <w:rPr>
                <w:rFonts w:hint="eastAsia" w:ascii="Times New Roman" w:hAnsi="Times New Roman"/>
                <w:iCs/>
                <w:lang w:val="zh-CN"/>
              </w:rPr>
              <w:t>技术参数</w:t>
            </w:r>
          </w:p>
        </w:tc>
        <w:tc>
          <w:tcPr>
            <w:tcW w:w="2094" w:type="dxa"/>
            <w:tcBorders>
              <w:right w:val="single" w:color="auto" w:sz="4" w:space="0"/>
            </w:tcBorders>
            <w:vAlign w:val="center"/>
          </w:tcPr>
          <w:p>
            <w:pPr>
              <w:pStyle w:val="5"/>
              <w:jc w:val="center"/>
              <w:rPr>
                <w:rFonts w:ascii="Times New Roman" w:hAnsi="Times New Roman"/>
                <w:iCs/>
                <w:lang w:val="zh-CN"/>
              </w:rPr>
            </w:pPr>
            <w:r>
              <w:rPr>
                <w:rFonts w:hint="eastAsia" w:ascii="Times New Roman" w:hAnsi="Times New Roman"/>
                <w:iCs/>
                <w:lang w:val="zh-CN"/>
              </w:rPr>
              <w:t>单位</w:t>
            </w:r>
          </w:p>
        </w:tc>
        <w:tc>
          <w:tcPr>
            <w:tcW w:w="810" w:type="dxa"/>
            <w:tcBorders>
              <w:left w:val="single" w:color="auto" w:sz="4" w:space="0"/>
              <w:right w:val="single" w:color="auto" w:sz="4" w:space="0"/>
            </w:tcBorders>
            <w:vAlign w:val="center"/>
          </w:tcPr>
          <w:p>
            <w:pPr>
              <w:pStyle w:val="5"/>
              <w:jc w:val="center"/>
              <w:rPr>
                <w:rFonts w:hint="eastAsia" w:ascii="Times New Roman" w:hAnsi="Times New Roman"/>
                <w:iCs/>
                <w:lang w:val="zh-CN"/>
              </w:rPr>
            </w:pPr>
            <w:r>
              <w:rPr>
                <w:rFonts w:hint="eastAsia" w:ascii="Times New Roman" w:hAnsi="Times New Roman"/>
                <w:iCs/>
                <w:lang w:val="zh-CN"/>
              </w:rPr>
              <w:t>数量</w:t>
            </w:r>
          </w:p>
        </w:tc>
        <w:tc>
          <w:tcPr>
            <w:tcW w:w="691" w:type="dxa"/>
            <w:tcBorders>
              <w:left w:val="single" w:color="auto" w:sz="4" w:space="0"/>
            </w:tcBorders>
            <w:vAlign w:val="center"/>
          </w:tcPr>
          <w:p>
            <w:pPr>
              <w:pStyle w:val="5"/>
              <w:jc w:val="center"/>
              <w:rPr>
                <w:rFonts w:hint="eastAsia" w:ascii="Times New Roman" w:hAnsi="Times New Roman"/>
                <w:iCs/>
                <w:lang w:val="zh-CN"/>
              </w:rPr>
            </w:pPr>
            <w:r>
              <w:rPr>
                <w:rFonts w:hint="eastAsia" w:ascii="Times New Roman" w:hAnsi="Times New Roman"/>
                <w:iCs/>
                <w:lang w:val="zh-CN"/>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2281" w:type="dxa"/>
            <w:vAlign w:val="center"/>
          </w:tcPr>
          <w:p>
            <w:pPr>
              <w:pStyle w:val="5"/>
              <w:jc w:val="center"/>
              <w:rPr>
                <w:rFonts w:ascii="Times New Roman" w:hAnsi="宋体"/>
                <w:iCs/>
                <w:lang w:val="zh-CN"/>
              </w:rPr>
            </w:pPr>
            <w:r>
              <w:rPr>
                <w:rFonts w:ascii="Times New Roman" w:hAnsi="Times New Roman"/>
                <w:iCs/>
                <w:lang w:val="zh-CN"/>
              </w:rPr>
              <w:t xml:space="preserve"> COD</w:t>
            </w:r>
            <w:r>
              <w:rPr>
                <w:rFonts w:ascii="Times New Roman" w:hAnsi="宋体"/>
                <w:iCs/>
                <w:lang w:val="zh-CN"/>
              </w:rPr>
              <w:t>在线分析仪</w:t>
            </w:r>
          </w:p>
        </w:tc>
        <w:tc>
          <w:tcPr>
            <w:tcW w:w="2646" w:type="dxa"/>
            <w:vAlign w:val="center"/>
          </w:tcPr>
          <w:p>
            <w:pPr>
              <w:pStyle w:val="5"/>
              <w:jc w:val="center"/>
              <w:rPr>
                <w:rFonts w:ascii="Times New Roman" w:hAnsi="宋体"/>
                <w:iCs/>
                <w:lang w:val="zh-CN"/>
              </w:rPr>
            </w:pPr>
            <w:r>
              <w:rPr>
                <w:rFonts w:hint="eastAsia" w:ascii="Times New Roman" w:hAnsi="宋体"/>
                <w:iCs/>
                <w:lang w:val="zh-CN"/>
              </w:rPr>
              <w:t>附后</w:t>
            </w:r>
          </w:p>
        </w:tc>
        <w:tc>
          <w:tcPr>
            <w:tcW w:w="2094" w:type="dxa"/>
            <w:tcBorders>
              <w:right w:val="single" w:color="auto" w:sz="4" w:space="0"/>
            </w:tcBorders>
            <w:vAlign w:val="center"/>
          </w:tcPr>
          <w:p>
            <w:pPr>
              <w:pStyle w:val="5"/>
              <w:jc w:val="center"/>
              <w:rPr>
                <w:rFonts w:ascii="Times New Roman" w:hAnsi="宋体"/>
                <w:iCs/>
                <w:lang w:val="zh-CN"/>
              </w:rPr>
            </w:pPr>
            <w:r>
              <w:rPr>
                <w:rFonts w:hint="eastAsia" w:ascii="Times New Roman" w:hAnsi="宋体"/>
                <w:iCs/>
                <w:lang w:val="zh-CN"/>
              </w:rPr>
              <w:t>套</w:t>
            </w:r>
          </w:p>
        </w:tc>
        <w:tc>
          <w:tcPr>
            <w:tcW w:w="810" w:type="dxa"/>
            <w:tcBorders>
              <w:left w:val="single" w:color="auto" w:sz="4" w:space="0"/>
              <w:right w:val="single" w:color="auto" w:sz="4" w:space="0"/>
            </w:tcBorders>
            <w:vAlign w:val="center"/>
          </w:tcPr>
          <w:p>
            <w:pPr>
              <w:pStyle w:val="5"/>
              <w:jc w:val="center"/>
              <w:rPr>
                <w:rFonts w:hint="eastAsia" w:ascii="Times New Roman" w:hAnsi="宋体" w:eastAsia="宋体"/>
                <w:iCs/>
                <w:lang w:val="en-US" w:eastAsia="zh-CN"/>
              </w:rPr>
            </w:pPr>
            <w:r>
              <w:rPr>
                <w:rFonts w:hint="eastAsia" w:ascii="Times New Roman" w:hAnsi="宋体"/>
                <w:iCs/>
                <w:lang w:val="en-US" w:eastAsia="zh-CN"/>
              </w:rPr>
              <w:t>1</w:t>
            </w:r>
          </w:p>
        </w:tc>
        <w:tc>
          <w:tcPr>
            <w:tcW w:w="691" w:type="dxa"/>
            <w:tcBorders>
              <w:left w:val="single" w:color="auto" w:sz="4" w:space="0"/>
            </w:tcBorders>
            <w:vAlign w:val="center"/>
          </w:tcPr>
          <w:p>
            <w:pPr>
              <w:pStyle w:val="5"/>
              <w:jc w:val="center"/>
              <w:rPr>
                <w:rFonts w:ascii="Times New Roman" w:hAnsi="宋体"/>
                <w:iCs/>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2281" w:type="dxa"/>
            <w:vAlign w:val="center"/>
          </w:tcPr>
          <w:p>
            <w:pPr>
              <w:pStyle w:val="5"/>
              <w:jc w:val="center"/>
              <w:rPr>
                <w:rFonts w:ascii="Times New Roman" w:hAnsi="Times New Roman"/>
                <w:iCs/>
                <w:lang w:val="zh-CN"/>
              </w:rPr>
            </w:pPr>
            <w:r>
              <w:rPr>
                <w:rFonts w:ascii="Times New Roman" w:hAnsi="宋体"/>
                <w:iCs/>
                <w:lang w:val="zh-CN"/>
              </w:rPr>
              <w:t>氨氮在线分析仪</w:t>
            </w:r>
          </w:p>
        </w:tc>
        <w:tc>
          <w:tcPr>
            <w:tcW w:w="2646" w:type="dxa"/>
            <w:vAlign w:val="center"/>
          </w:tcPr>
          <w:p>
            <w:pPr>
              <w:pStyle w:val="5"/>
              <w:jc w:val="center"/>
              <w:rPr>
                <w:rFonts w:hint="eastAsia" w:hAnsi="宋体"/>
              </w:rPr>
            </w:pPr>
            <w:r>
              <w:rPr>
                <w:rFonts w:hint="eastAsia" w:ascii="Times New Roman" w:hAnsi="宋体"/>
                <w:iCs/>
                <w:lang w:val="zh-CN"/>
              </w:rPr>
              <w:t>附后</w:t>
            </w:r>
          </w:p>
        </w:tc>
        <w:tc>
          <w:tcPr>
            <w:tcW w:w="2094" w:type="dxa"/>
            <w:tcBorders>
              <w:right w:val="single" w:color="auto" w:sz="4" w:space="0"/>
            </w:tcBorders>
            <w:vAlign w:val="center"/>
          </w:tcPr>
          <w:p>
            <w:pPr>
              <w:pStyle w:val="5"/>
              <w:jc w:val="center"/>
              <w:rPr>
                <w:rFonts w:hint="eastAsia" w:ascii="Times New Roman" w:hAnsi="宋体"/>
                <w:iCs/>
                <w:lang w:val="zh-CN"/>
              </w:rPr>
            </w:pPr>
            <w:r>
              <w:rPr>
                <w:rFonts w:hint="eastAsia" w:ascii="Times New Roman" w:hAnsi="宋体"/>
                <w:iCs/>
                <w:lang w:val="zh-CN"/>
              </w:rPr>
              <w:t>套</w:t>
            </w:r>
          </w:p>
        </w:tc>
        <w:tc>
          <w:tcPr>
            <w:tcW w:w="810" w:type="dxa"/>
            <w:tcBorders>
              <w:left w:val="single" w:color="auto" w:sz="4" w:space="0"/>
              <w:right w:val="single" w:color="auto" w:sz="4" w:space="0"/>
            </w:tcBorders>
            <w:vAlign w:val="center"/>
          </w:tcPr>
          <w:p>
            <w:pPr>
              <w:pStyle w:val="5"/>
              <w:jc w:val="center"/>
              <w:rPr>
                <w:rFonts w:hint="eastAsia" w:ascii="Times New Roman" w:hAnsi="宋体"/>
                <w:iCs/>
                <w:lang w:val="en-US" w:eastAsia="zh-CN"/>
              </w:rPr>
            </w:pPr>
            <w:r>
              <w:rPr>
                <w:rFonts w:hint="eastAsia" w:ascii="Times New Roman" w:hAnsi="宋体"/>
                <w:iCs/>
                <w:lang w:val="en-US" w:eastAsia="zh-CN"/>
              </w:rPr>
              <w:t>1</w:t>
            </w:r>
          </w:p>
        </w:tc>
        <w:tc>
          <w:tcPr>
            <w:tcW w:w="691" w:type="dxa"/>
            <w:tcBorders>
              <w:left w:val="single" w:color="auto" w:sz="4" w:space="0"/>
            </w:tcBorders>
            <w:vAlign w:val="center"/>
          </w:tcPr>
          <w:p>
            <w:pPr>
              <w:pStyle w:val="5"/>
              <w:jc w:val="center"/>
              <w:rPr>
                <w:rFonts w:ascii="Times New Roman" w:hAnsi="宋体"/>
                <w:iCs/>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2281" w:type="dxa"/>
            <w:vAlign w:val="center"/>
          </w:tcPr>
          <w:p>
            <w:pPr>
              <w:pStyle w:val="5"/>
              <w:jc w:val="center"/>
              <w:rPr>
                <w:rFonts w:ascii="Times New Roman" w:hAnsi="宋体"/>
                <w:iCs/>
                <w:lang w:val="zh-CN"/>
              </w:rPr>
            </w:pPr>
            <w:r>
              <w:rPr>
                <w:rFonts w:hint="eastAsia" w:ascii="Times New Roman" w:hAnsi="宋体"/>
                <w:iCs/>
                <w:lang w:val="zh-CN"/>
              </w:rPr>
              <w:t>超声波流量计</w:t>
            </w:r>
          </w:p>
        </w:tc>
        <w:tc>
          <w:tcPr>
            <w:tcW w:w="2646" w:type="dxa"/>
            <w:vAlign w:val="center"/>
          </w:tcPr>
          <w:p>
            <w:pPr>
              <w:pStyle w:val="5"/>
              <w:jc w:val="center"/>
              <w:rPr>
                <w:rFonts w:ascii="Times New Roman" w:hAnsi="Times New Roman"/>
                <w:iCs/>
                <w:lang w:val="zh-CN"/>
              </w:rPr>
            </w:pPr>
            <w:r>
              <w:rPr>
                <w:rFonts w:hint="eastAsia" w:ascii="Times New Roman" w:hAnsi="宋体"/>
                <w:iCs/>
                <w:lang w:val="zh-CN"/>
              </w:rPr>
              <w:t>附后</w:t>
            </w:r>
          </w:p>
        </w:tc>
        <w:tc>
          <w:tcPr>
            <w:tcW w:w="2094" w:type="dxa"/>
            <w:tcBorders>
              <w:right w:val="single" w:color="auto" w:sz="4" w:space="0"/>
            </w:tcBorders>
            <w:vAlign w:val="center"/>
          </w:tcPr>
          <w:p>
            <w:pPr>
              <w:pStyle w:val="5"/>
              <w:jc w:val="center"/>
              <w:rPr>
                <w:rFonts w:hint="eastAsia" w:ascii="Times New Roman" w:hAnsi="宋体"/>
                <w:iCs/>
                <w:lang w:val="zh-CN"/>
              </w:rPr>
            </w:pPr>
            <w:r>
              <w:rPr>
                <w:rFonts w:hint="eastAsia" w:ascii="Times New Roman" w:hAnsi="宋体"/>
                <w:iCs/>
                <w:lang w:val="zh-CN"/>
              </w:rPr>
              <w:t>套</w:t>
            </w:r>
          </w:p>
        </w:tc>
        <w:tc>
          <w:tcPr>
            <w:tcW w:w="810" w:type="dxa"/>
            <w:tcBorders>
              <w:left w:val="single" w:color="auto" w:sz="4" w:space="0"/>
              <w:right w:val="single" w:color="auto" w:sz="4" w:space="0"/>
            </w:tcBorders>
            <w:vAlign w:val="center"/>
          </w:tcPr>
          <w:p>
            <w:pPr>
              <w:pStyle w:val="5"/>
              <w:jc w:val="center"/>
              <w:rPr>
                <w:rFonts w:hint="eastAsia" w:ascii="Times New Roman" w:hAnsi="宋体"/>
                <w:iCs/>
                <w:lang w:val="en-US" w:eastAsia="zh-CN"/>
              </w:rPr>
            </w:pPr>
            <w:r>
              <w:rPr>
                <w:rFonts w:hint="eastAsia" w:ascii="Times New Roman" w:hAnsi="宋体"/>
                <w:iCs/>
                <w:lang w:val="en-US" w:eastAsia="zh-CN"/>
              </w:rPr>
              <w:t>1</w:t>
            </w:r>
          </w:p>
        </w:tc>
        <w:tc>
          <w:tcPr>
            <w:tcW w:w="691" w:type="dxa"/>
            <w:tcBorders>
              <w:left w:val="single" w:color="auto" w:sz="4" w:space="0"/>
            </w:tcBorders>
            <w:vAlign w:val="center"/>
          </w:tcPr>
          <w:p>
            <w:pPr>
              <w:pStyle w:val="5"/>
              <w:jc w:val="center"/>
              <w:rPr>
                <w:rFonts w:ascii="Times New Roman" w:hAnsi="宋体"/>
                <w:iCs/>
                <w:lang w:val="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2281" w:type="dxa"/>
            <w:vAlign w:val="center"/>
          </w:tcPr>
          <w:p>
            <w:pPr>
              <w:pStyle w:val="5"/>
              <w:jc w:val="center"/>
              <w:rPr>
                <w:rFonts w:hint="eastAsia" w:ascii="Times New Roman" w:hAnsi="宋体"/>
                <w:iCs/>
                <w:lang w:val="zh-CN"/>
              </w:rPr>
            </w:pPr>
            <w:r>
              <w:rPr>
                <w:rFonts w:hint="eastAsia" w:ascii="Times New Roman" w:hAnsi="宋体"/>
                <w:iCs/>
                <w:lang w:val="zh-CN"/>
              </w:rPr>
              <w:t>环保</w:t>
            </w:r>
            <w:r>
              <w:rPr>
                <w:rFonts w:ascii="Times New Roman" w:hAnsi="宋体"/>
                <w:iCs/>
                <w:lang w:val="zh-CN"/>
              </w:rPr>
              <w:t>数据采集仪</w:t>
            </w:r>
          </w:p>
        </w:tc>
        <w:tc>
          <w:tcPr>
            <w:tcW w:w="2646" w:type="dxa"/>
            <w:vAlign w:val="center"/>
          </w:tcPr>
          <w:p>
            <w:pPr>
              <w:pStyle w:val="5"/>
              <w:jc w:val="center"/>
              <w:rPr>
                <w:rFonts w:ascii="Times New Roman" w:hAnsi="Times New Roman"/>
                <w:iCs/>
                <w:lang w:val="zh-CN"/>
              </w:rPr>
            </w:pPr>
            <w:r>
              <w:rPr>
                <w:rFonts w:hint="eastAsia" w:ascii="Times New Roman" w:hAnsi="宋体"/>
                <w:iCs/>
                <w:lang w:val="zh-CN"/>
              </w:rPr>
              <w:t>附后</w:t>
            </w:r>
          </w:p>
        </w:tc>
        <w:tc>
          <w:tcPr>
            <w:tcW w:w="2094" w:type="dxa"/>
            <w:tcBorders>
              <w:right w:val="single" w:color="auto" w:sz="4" w:space="0"/>
            </w:tcBorders>
            <w:vAlign w:val="center"/>
          </w:tcPr>
          <w:p>
            <w:pPr>
              <w:pStyle w:val="5"/>
              <w:jc w:val="center"/>
              <w:rPr>
                <w:rFonts w:hint="eastAsia" w:ascii="Times New Roman" w:hAnsi="宋体"/>
                <w:iCs/>
                <w:lang w:val="zh-CN"/>
              </w:rPr>
            </w:pPr>
          </w:p>
        </w:tc>
        <w:tc>
          <w:tcPr>
            <w:tcW w:w="810" w:type="dxa"/>
            <w:tcBorders>
              <w:left w:val="single" w:color="auto" w:sz="4" w:space="0"/>
              <w:right w:val="single" w:color="auto" w:sz="4" w:space="0"/>
            </w:tcBorders>
            <w:vAlign w:val="center"/>
          </w:tcPr>
          <w:p>
            <w:pPr>
              <w:pStyle w:val="5"/>
              <w:jc w:val="center"/>
              <w:rPr>
                <w:rFonts w:hint="default" w:ascii="Times New Roman" w:hAnsi="宋体"/>
                <w:iCs/>
                <w:lang w:val="en-US" w:eastAsia="zh-CN"/>
              </w:rPr>
            </w:pPr>
            <w:r>
              <w:rPr>
                <w:rFonts w:hint="eastAsia" w:hAnsi="宋体"/>
                <w:iCs/>
                <w:lang w:val="en-US" w:eastAsia="zh-CN"/>
              </w:rPr>
              <w:t>1</w:t>
            </w:r>
          </w:p>
        </w:tc>
        <w:tc>
          <w:tcPr>
            <w:tcW w:w="691" w:type="dxa"/>
            <w:tcBorders>
              <w:left w:val="single" w:color="auto" w:sz="4" w:space="0"/>
            </w:tcBorders>
            <w:vAlign w:val="center"/>
          </w:tcPr>
          <w:p>
            <w:pPr>
              <w:pStyle w:val="5"/>
              <w:jc w:val="center"/>
              <w:rPr>
                <w:rFonts w:ascii="Times New Roman" w:hAnsi="宋体"/>
                <w:iCs/>
                <w:lang w:val="zh-CN"/>
              </w:rPr>
            </w:pPr>
          </w:p>
        </w:tc>
      </w:tr>
    </w:tbl>
    <w:p>
      <w:pPr>
        <w:pStyle w:val="3"/>
        <w:numPr>
          <w:ilvl w:val="2"/>
          <w:numId w:val="0"/>
        </w:numPr>
        <w:tabs>
          <w:tab w:val="clear" w:pos="720"/>
        </w:tabs>
        <w:ind w:leftChars="0" w:firstLine="480" w:firstLineChars="200"/>
        <w:rPr>
          <w:rFonts w:hint="eastAsia"/>
          <w:b w:val="0"/>
          <w:bCs w:val="0"/>
          <w:sz w:val="24"/>
          <w:szCs w:val="24"/>
          <w:lang w:val="en-US" w:eastAsia="zh-CN"/>
        </w:rPr>
      </w:pPr>
      <w:bookmarkStart w:id="0" w:name="_Toc321049492"/>
      <w:bookmarkStart w:id="1" w:name="_Toc434929610"/>
      <w:r>
        <w:rPr>
          <w:rFonts w:hint="eastAsia"/>
          <w:b w:val="0"/>
          <w:bCs w:val="0"/>
          <w:sz w:val="24"/>
          <w:szCs w:val="24"/>
          <w:lang w:val="en-US" w:eastAsia="zh-CN"/>
        </w:rPr>
        <w:t>(3).配套设施建设</w:t>
      </w:r>
    </w:p>
    <w:tbl>
      <w:tblPr>
        <w:tblStyle w:val="7"/>
        <w:tblW w:w="852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eastAsia="宋体"/>
                <w:iCs/>
                <w:lang w:val="en-US" w:eastAsia="zh-CN"/>
              </w:rPr>
            </w:pPr>
            <w:r>
              <w:rPr>
                <w:rFonts w:hint="eastAsia" w:ascii="Times New Roman" w:hAnsi="Times New Roman"/>
                <w:iCs/>
                <w:lang w:val="en-US" w:eastAsia="zh-CN"/>
              </w:rPr>
              <w:t>1.现场排污口建设改造。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eastAsia="宋体"/>
                <w:iCs/>
                <w:lang w:val="en-US" w:eastAsia="zh-CN"/>
              </w:rPr>
            </w:pPr>
            <w:r>
              <w:rPr>
                <w:rFonts w:hint="eastAsia" w:ascii="Times New Roman" w:hAnsi="Times New Roman"/>
                <w:iCs/>
                <w:lang w:val="en-US" w:eastAsia="zh-CN"/>
              </w:rPr>
              <w:t>2.流量计巴歇尔槽。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iCs/>
                <w:lang w:val="en-US" w:eastAsia="zh-CN"/>
              </w:rPr>
            </w:pPr>
            <w:r>
              <w:rPr>
                <w:rFonts w:hint="eastAsia" w:ascii="Times New Roman" w:hAnsi="Times New Roman"/>
                <w:iCs/>
                <w:lang w:val="en-US" w:eastAsia="zh-CN"/>
              </w:rPr>
              <w:t>3.设备安装调试。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iCs/>
                <w:lang w:val="en-US" w:eastAsia="zh-CN"/>
              </w:rPr>
            </w:pPr>
            <w:r>
              <w:rPr>
                <w:rFonts w:hint="eastAsia" w:ascii="Times New Roman" w:hAnsi="Times New Roman"/>
                <w:iCs/>
                <w:lang w:val="en-US" w:eastAsia="zh-CN"/>
              </w:rPr>
              <w:t>4.数据</w:t>
            </w:r>
            <w:r>
              <w:rPr>
                <w:rFonts w:ascii="Times New Roman" w:hAnsi="宋体"/>
                <w:iCs/>
                <w:lang w:val="zh-CN"/>
              </w:rPr>
              <w:t>采集仪</w:t>
            </w:r>
            <w:r>
              <w:rPr>
                <w:rFonts w:hint="eastAsia" w:ascii="Times New Roman" w:hAnsi="宋体"/>
                <w:iCs/>
                <w:lang w:val="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iCs/>
                <w:lang w:val="en-US" w:eastAsia="zh-CN"/>
              </w:rPr>
            </w:pPr>
            <w:r>
              <w:rPr>
                <w:rFonts w:hint="eastAsia" w:ascii="Times New Roman" w:hAnsi="Times New Roman"/>
                <w:iCs/>
                <w:lang w:val="en-US" w:eastAsia="zh-CN"/>
              </w:rPr>
              <w:t>5.设备联网</w:t>
            </w:r>
          </w:p>
        </w:tc>
      </w:tr>
    </w:tbl>
    <w:p>
      <w:pPr>
        <w:pStyle w:val="3"/>
        <w:numPr>
          <w:ilvl w:val="2"/>
          <w:numId w:val="0"/>
        </w:numPr>
        <w:tabs>
          <w:tab w:val="clear" w:pos="720"/>
        </w:tabs>
        <w:ind w:leftChars="0" w:firstLine="480" w:firstLineChars="200"/>
        <w:rPr>
          <w:rFonts w:hint="eastAsia"/>
          <w:b w:val="0"/>
          <w:bCs w:val="0"/>
          <w:sz w:val="24"/>
          <w:szCs w:val="24"/>
          <w:lang w:val="en-US" w:eastAsia="zh-CN"/>
        </w:rPr>
      </w:pPr>
      <w:r>
        <w:rPr>
          <w:rFonts w:hint="eastAsia"/>
          <w:b w:val="0"/>
          <w:bCs w:val="0"/>
          <w:sz w:val="24"/>
          <w:szCs w:val="24"/>
          <w:lang w:val="en-US" w:eastAsia="zh-CN"/>
        </w:rPr>
        <w:t>(4).环保验收相关工作</w:t>
      </w:r>
    </w:p>
    <w:tbl>
      <w:tblPr>
        <w:tblStyle w:val="7"/>
        <w:tblW w:w="852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eastAsia="宋体"/>
                <w:iCs/>
                <w:lang w:val="en-US" w:eastAsia="zh-CN"/>
              </w:rPr>
            </w:pPr>
            <w:r>
              <w:rPr>
                <w:rFonts w:hint="eastAsia" w:ascii="Times New Roman" w:hAnsi="Times New Roman"/>
                <w:iCs/>
                <w:lang w:val="en-US" w:eastAsia="zh-CN"/>
              </w:rPr>
              <w:t>1.环保数据比对。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eastAsia="宋体"/>
                <w:iCs/>
                <w:lang w:val="en-US" w:eastAsia="zh-CN"/>
              </w:rPr>
            </w:pPr>
            <w:r>
              <w:rPr>
                <w:rFonts w:hint="eastAsia" w:ascii="Times New Roman" w:hAnsi="Times New Roman"/>
                <w:iCs/>
                <w:lang w:val="en-US" w:eastAsia="zh-CN"/>
              </w:rPr>
              <w:t>2.数据上传至环保监控中心。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iCs/>
                <w:lang w:val="en-US" w:eastAsia="zh-CN"/>
              </w:rPr>
            </w:pPr>
            <w:r>
              <w:rPr>
                <w:rFonts w:hint="eastAsia" w:ascii="Times New Roman" w:hAnsi="Times New Roman"/>
                <w:iCs/>
                <w:lang w:val="en-US" w:eastAsia="zh-CN"/>
              </w:rPr>
              <w:t>3.组织环保验收相关工作，符合环保相关标准要求。</w:t>
            </w:r>
          </w:p>
        </w:tc>
      </w:tr>
    </w:tbl>
    <w:p>
      <w:pPr>
        <w:pStyle w:val="3"/>
        <w:numPr>
          <w:ilvl w:val="2"/>
          <w:numId w:val="0"/>
        </w:numPr>
        <w:tabs>
          <w:tab w:val="clear" w:pos="720"/>
        </w:tabs>
        <w:ind w:leftChars="0" w:firstLine="480" w:firstLineChars="200"/>
        <w:rPr>
          <w:rFonts w:hint="eastAsia"/>
          <w:b w:val="0"/>
          <w:bCs w:val="0"/>
          <w:sz w:val="24"/>
          <w:szCs w:val="24"/>
          <w:lang w:val="en-US" w:eastAsia="zh-CN"/>
        </w:rPr>
      </w:pPr>
      <w:r>
        <w:rPr>
          <w:rFonts w:hint="eastAsia"/>
          <w:b w:val="0"/>
          <w:bCs w:val="0"/>
          <w:sz w:val="24"/>
          <w:szCs w:val="24"/>
          <w:lang w:val="en-US" w:eastAsia="zh-CN"/>
        </w:rPr>
        <w:t>(5).设备运维</w:t>
      </w:r>
    </w:p>
    <w:tbl>
      <w:tblPr>
        <w:tblStyle w:val="7"/>
        <w:tblW w:w="852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eastAsia="宋体"/>
                <w:iCs/>
                <w:lang w:val="en-US" w:eastAsia="zh-CN"/>
              </w:rPr>
            </w:pPr>
            <w:r>
              <w:rPr>
                <w:rFonts w:hint="eastAsia" w:ascii="Times New Roman" w:hAnsi="Times New Roman"/>
                <w:iCs/>
                <w:lang w:val="en-US" w:eastAsia="zh-CN"/>
              </w:rPr>
              <w:t>1.由相关专业人员对设备进行巡检、维护，确保污染源在线监测系统的正常运行。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eastAsia="宋体"/>
                <w:iCs/>
                <w:lang w:val="en-US" w:eastAsia="zh-CN"/>
              </w:rPr>
            </w:pPr>
            <w:r>
              <w:rPr>
                <w:rFonts w:hint="eastAsia" w:ascii="Times New Roman" w:hAnsi="Times New Roman"/>
                <w:iCs/>
                <w:lang w:val="en-US" w:eastAsia="zh-CN"/>
              </w:rPr>
              <w:t>2免费提供试剂耗材。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iCs/>
                <w:lang w:val="en-US" w:eastAsia="zh-CN"/>
              </w:rPr>
            </w:pPr>
            <w:r>
              <w:rPr>
                <w:rFonts w:hint="eastAsia" w:ascii="Times New Roman" w:hAnsi="Times New Roman"/>
                <w:iCs/>
                <w:lang w:val="en-US" w:eastAsia="zh-CN"/>
              </w:rPr>
              <w:t>3.按相关要求对所产生废液进行处理。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trPr>
        <w:tc>
          <w:tcPr>
            <w:tcW w:w="8522" w:type="dxa"/>
            <w:vAlign w:val="center"/>
          </w:tcPr>
          <w:p>
            <w:pPr>
              <w:pStyle w:val="5"/>
              <w:jc w:val="both"/>
              <w:rPr>
                <w:rFonts w:hint="eastAsia" w:ascii="Times New Roman" w:hAnsi="Times New Roman"/>
                <w:iCs/>
                <w:lang w:val="en-US" w:eastAsia="zh-CN"/>
              </w:rPr>
            </w:pPr>
            <w:r>
              <w:rPr>
                <w:rFonts w:hint="eastAsia" w:ascii="Times New Roman" w:hAnsi="Times New Roman"/>
                <w:iCs/>
                <w:lang w:val="en-US" w:eastAsia="zh-CN"/>
              </w:rPr>
              <w:t>4.资料归档、运维台账建设</w:t>
            </w:r>
          </w:p>
        </w:tc>
      </w:tr>
      <w:bookmarkEnd w:id="0"/>
      <w:bookmarkEnd w:id="1"/>
    </w:tbl>
    <w:p>
      <w:pPr>
        <w:rPr>
          <w:rFonts w:hint="default"/>
          <w:b/>
          <w:bCs/>
          <w:sz w:val="28"/>
          <w:szCs w:val="28"/>
          <w:lang w:val="en-US" w:eastAsia="zh-CN"/>
        </w:rPr>
      </w:pPr>
      <w:r>
        <w:rPr>
          <w:rFonts w:hint="eastAsia"/>
          <w:b/>
          <w:bCs/>
          <w:sz w:val="28"/>
          <w:szCs w:val="28"/>
          <w:lang w:val="en-US" w:eastAsia="zh-CN"/>
        </w:rPr>
        <w:t>4、</w:t>
      </w:r>
      <w:r>
        <w:rPr>
          <w:rFonts w:hint="eastAsia" w:ascii="宋体" w:hAnsi="宋体" w:eastAsia="宋体" w:cs="宋体"/>
          <w:b/>
          <w:bCs/>
          <w:sz w:val="28"/>
          <w:szCs w:val="28"/>
        </w:rPr>
        <w:t>水质在线自动监测仪技术</w:t>
      </w:r>
      <w:r>
        <w:rPr>
          <w:rFonts w:hint="eastAsia"/>
          <w:b/>
          <w:bCs/>
          <w:sz w:val="28"/>
          <w:szCs w:val="28"/>
          <w:lang w:val="en-US" w:eastAsia="zh-CN"/>
        </w:rPr>
        <w:t>技术参数</w:t>
      </w:r>
    </w:p>
    <w:p>
      <w:pPr>
        <w:spacing w:line="360" w:lineRule="auto"/>
        <w:rPr>
          <w:rFonts w:ascii="宋体" w:hAnsi="宋体" w:eastAsia="宋体" w:cs="宋体"/>
          <w:sz w:val="24"/>
          <w:szCs w:val="24"/>
        </w:rPr>
      </w:pPr>
      <w:r>
        <w:rPr>
          <w:rFonts w:hint="eastAsia" w:ascii="宋体" w:hAnsi="宋体" w:eastAsia="宋体" w:cs="宋体"/>
          <w:b/>
          <w:sz w:val="24"/>
          <w:szCs w:val="24"/>
        </w:rPr>
        <w:t>监测项目</w:t>
      </w:r>
      <w:r>
        <w:rPr>
          <w:rFonts w:hint="eastAsia" w:ascii="宋体" w:hAnsi="宋体" w:eastAsia="宋体" w:cs="宋体"/>
          <w:sz w:val="24"/>
          <w:szCs w:val="24"/>
        </w:rPr>
        <w:t>：COD、氨氮、流量。</w:t>
      </w:r>
    </w:p>
    <w:p>
      <w:pPr>
        <w:spacing w:line="360" w:lineRule="auto"/>
        <w:rPr>
          <w:rFonts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、化学需氧量(COD)在线监测仪</w:t>
      </w:r>
      <w:bookmarkStart w:id="2" w:name="_Toc118279953"/>
      <w:r>
        <w:rPr>
          <w:rFonts w:hint="eastAsia" w:ascii="宋体" w:hAnsi="宋体" w:eastAsia="宋体" w:cs="宋体"/>
          <w:b/>
          <w:bCs/>
          <w:sz w:val="24"/>
          <w:szCs w:val="24"/>
        </w:rPr>
        <w:t>技术参数</w:t>
      </w:r>
    </w:p>
    <w:bookmarkEnd w:id="2"/>
    <w:p>
      <w:pPr>
        <w:spacing w:line="360" w:lineRule="auto"/>
        <w:ind w:firstLine="480" w:firstLineChars="200"/>
        <w:jc w:val="left"/>
        <w:rPr>
          <w:rFonts w:ascii="宋体" w:hAnsi="宋体" w:eastAsia="宋体" w:cs="宋体"/>
          <w:sz w:val="24"/>
          <w:szCs w:val="24"/>
        </w:rPr>
      </w:pPr>
      <w:bookmarkStart w:id="3" w:name="_Toc118279956"/>
      <w:r>
        <w:rPr>
          <w:rFonts w:hint="eastAsia" w:ascii="宋体" w:hAnsi="宋体" w:eastAsia="宋体" w:cs="宋体"/>
          <w:sz w:val="24"/>
          <w:szCs w:val="24"/>
        </w:rPr>
        <w:t>监测方法依据：国家标准HJ/T 377-2007《化学需氧量（CODCr）水质在线自动监测仪》和HJ/T 399-2007《水质 化学需氧量的测定 快速消解分光光度法》。</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测量范围：（0~5000）mg/L。</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分辨力：0.1mg/L时。</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3.</w:t>
      </w:r>
      <w:r>
        <w:rPr>
          <w:rFonts w:hint="eastAsia" w:ascii="宋体" w:hAnsi="宋体" w:eastAsia="宋体" w:cs="宋体"/>
          <w:sz w:val="24"/>
          <w:szCs w:val="24"/>
        </w:rPr>
        <w:t>示值误差：不超过±10%。</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4.</w:t>
      </w:r>
      <w:r>
        <w:rPr>
          <w:rFonts w:hint="eastAsia" w:ascii="宋体" w:hAnsi="宋体" w:eastAsia="宋体" w:cs="宋体"/>
          <w:sz w:val="24"/>
          <w:szCs w:val="24"/>
        </w:rPr>
        <w:t>重复性：不超过5%。</w:t>
      </w:r>
    </w:p>
    <w:p>
      <w:pPr>
        <w:spacing w:line="360" w:lineRule="auto"/>
        <w:ind w:firstLine="240" w:firstLineChars="100"/>
        <w:jc w:val="left"/>
        <w:rPr>
          <w:rFonts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零点漂移：不超过±5mg/L。</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量程漂移：不超过10%。</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示值稳定性：在24h内不超过±10％。</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测量周期：最小测量周期为20分钟，据实际水样，可在5～120min任意修改消解时间。</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 采样周期：时间间隔（5～9999）min任意可调和整点测量模式。</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 校准周期：（1～99）天任意间隔任意时刻可调。</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 xml:space="preserve"> 维护周期：一般每月</w:t>
      </w:r>
      <w:r>
        <w:rPr>
          <w:rFonts w:hint="eastAsia" w:ascii="宋体" w:hAnsi="宋体" w:eastAsia="宋体" w:cs="宋体"/>
          <w:sz w:val="24"/>
          <w:szCs w:val="24"/>
          <w:lang w:val="en-US" w:eastAsia="zh-CN"/>
        </w:rPr>
        <w:t>2</w:t>
      </w:r>
      <w:r>
        <w:rPr>
          <w:rFonts w:hint="eastAsia" w:ascii="宋体" w:hAnsi="宋体" w:eastAsia="宋体" w:cs="宋体"/>
          <w:sz w:val="24"/>
          <w:szCs w:val="24"/>
        </w:rPr>
        <w:t>次，每次约30 min。</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12.</w:t>
      </w:r>
      <w:r>
        <w:rPr>
          <w:rFonts w:hint="eastAsia" w:ascii="宋体" w:hAnsi="宋体" w:eastAsia="宋体" w:cs="宋体"/>
          <w:sz w:val="24"/>
          <w:szCs w:val="24"/>
        </w:rPr>
        <w:t>输出：2路 RS-232、2路（4～20）mA。</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13.</w:t>
      </w:r>
      <w:r>
        <w:rPr>
          <w:rFonts w:hint="eastAsia" w:ascii="宋体" w:hAnsi="宋体" w:eastAsia="宋体" w:cs="宋体"/>
          <w:sz w:val="24"/>
          <w:szCs w:val="24"/>
        </w:rPr>
        <w:t>环境温度：（5～40）℃（建议温度（5～28）℃）；湿度≤90%RH（不结露）。</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 xml:space="preserve"> 电源：AC230±10%V，50±10%Hz，5A。</w:t>
      </w:r>
    </w:p>
    <w:p>
      <w:pPr>
        <w:spacing w:line="360" w:lineRule="auto"/>
        <w:jc w:val="left"/>
        <w:rPr>
          <w:rFonts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尺寸：</w:t>
      </w:r>
      <w:r>
        <w:rPr>
          <w:rFonts w:hint="default" w:ascii="Arial" w:hAnsi="Arial" w:eastAsia="宋体" w:cs="Arial"/>
          <w:sz w:val="24"/>
          <w:szCs w:val="24"/>
          <w:lang w:val="en-US" w:eastAsia="zh-CN"/>
        </w:rPr>
        <w:t>≥</w:t>
      </w:r>
      <w:r>
        <w:rPr>
          <w:rFonts w:hint="eastAsia" w:ascii="宋体" w:hAnsi="宋体" w:eastAsia="宋体" w:cs="宋体"/>
          <w:sz w:val="24"/>
          <w:szCs w:val="24"/>
        </w:rPr>
        <w:t>高 1500×宽550×深450mm。</w:t>
      </w:r>
    </w:p>
    <w:p>
      <w:pPr>
        <w:spacing w:line="360" w:lineRule="auto"/>
        <w:jc w:val="left"/>
        <w:rPr>
          <w:rFonts w:ascii="宋体" w:hAnsi="宋体" w:eastAsia="宋体" w:cs="宋体"/>
          <w:b/>
          <w:bCs/>
          <w:color w:val="000000"/>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16.</w:t>
      </w:r>
      <w:r>
        <w:rPr>
          <w:rFonts w:hint="eastAsia" w:ascii="宋体" w:hAnsi="宋体" w:eastAsia="宋体" w:cs="宋体"/>
          <w:sz w:val="24"/>
          <w:szCs w:val="24"/>
        </w:rPr>
        <w:t>其他：异常报警和断电不会丢失数据；触摸屏显示及指令输入；异常复位和断电后来电，仪器自动排出仪器内残留反应物，自动恢复工作状态。</w:t>
      </w:r>
      <w:bookmarkEnd w:id="3"/>
    </w:p>
    <w:p>
      <w:pPr>
        <w:spacing w:line="360" w:lineRule="auto"/>
        <w:rPr>
          <w:rFonts w:ascii="宋体" w:hAnsi="宋体" w:eastAsia="宋体" w:cs="宋体"/>
          <w:b/>
          <w:bCs/>
          <w:sz w:val="24"/>
          <w:szCs w:val="24"/>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、氨氮在线自动监测仪</w:t>
      </w:r>
      <w:r>
        <w:rPr>
          <w:rFonts w:hint="eastAsia" w:ascii="宋体" w:hAnsi="宋体" w:eastAsia="宋体" w:cs="宋体"/>
          <w:b/>
          <w:bCs/>
          <w:sz w:val="24"/>
          <w:szCs w:val="24"/>
        </w:rPr>
        <w:t>技术参数</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测量范围：0-300 mg/L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准确度：不超过±10%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重复性：不超过±5%</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测量周期：最小测量周期为 20分钟，据现场环境，可在 5～120min 任意修改显色时间。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采样周期：时间间隔（10～9999min 任意可调）和整点测量模式。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校准周期：1～99 天任意间隔任意时刻可调。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维护周期：一般每月一次，每次约 30 min。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试剂消耗：小于 0.50 元/样品。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输出：2 路RS-232；2路4～20mA。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环境要求：温度可调的室内，建议温度+5～28℃；湿度≤90%（不结露）。  </w:t>
      </w:r>
    </w:p>
    <w:p>
      <w:pPr>
        <w:spacing w:line="360" w:lineRule="auto"/>
        <w:rPr>
          <w:rFonts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 xml:space="preserve">电源：AC220±10%V，50±1%Hz，5A。  </w:t>
      </w:r>
    </w:p>
    <w:p>
      <w:pPr>
        <w:spacing w:line="360" w:lineRule="auto"/>
        <w:rPr>
          <w:rFonts w:ascii="宋体" w:hAnsi="宋体" w:eastAsia="宋体" w:cs="宋体"/>
          <w:sz w:val="24"/>
          <w:szCs w:val="24"/>
        </w:rPr>
      </w:pPr>
      <w:r>
        <w:rPr>
          <w:rFonts w:hint="eastAsia" w:ascii="宋体" w:hAnsi="宋体" w:eastAsia="宋体" w:cs="宋体"/>
          <w:sz w:val="24"/>
          <w:szCs w:val="24"/>
        </w:rPr>
        <w:t xml:space="preserve">  </w:t>
      </w:r>
    </w:p>
    <w:p>
      <w:pPr>
        <w:spacing w:line="360" w:lineRule="auto"/>
        <w:rPr>
          <w:rFonts w:ascii="宋体" w:hAnsi="宋体" w:eastAsia="宋体" w:cs="宋体"/>
          <w:b/>
          <w:bCs/>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其他：异常报警和断电不会丢失数据；触摸屏显示及指令输入；异常复位和断电后来电，仪器自动排出仪器内残留反应物，自动恢复工作状态。</w:t>
      </w:r>
      <w:bookmarkStart w:id="4" w:name="_Toc305873143"/>
      <w:bookmarkStart w:id="5" w:name="_Toc118279961"/>
    </w:p>
    <w:p>
      <w:pPr>
        <w:spacing w:line="360" w:lineRule="auto"/>
        <w:rPr>
          <w:rFonts w:ascii="宋体" w:hAnsi="宋体" w:eastAsia="宋体" w:cs="宋体"/>
          <w:b/>
          <w:bCs/>
          <w:sz w:val="24"/>
          <w:szCs w:val="24"/>
        </w:rPr>
      </w:pPr>
    </w:p>
    <w:bookmarkEnd w:id="4"/>
    <w:p>
      <w:pPr>
        <w:widowControl w:val="0"/>
        <w:spacing w:line="360" w:lineRule="auto"/>
        <w:rPr>
          <w:rFonts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、超声波明渠流量计基本技术要求</w:t>
      </w:r>
    </w:p>
    <w:p>
      <w:pPr>
        <w:spacing w:line="360" w:lineRule="auto"/>
        <w:jc w:val="left"/>
        <w:rPr>
          <w:rFonts w:ascii="宋体" w:hAnsi="宋体" w:eastAsia="宋体" w:cs="宋体"/>
          <w:sz w:val="24"/>
          <w:szCs w:val="24"/>
        </w:rPr>
      </w:pPr>
      <w:bookmarkStart w:id="6" w:name="_Toc118279964"/>
      <w:r>
        <w:rPr>
          <w:rFonts w:hint="eastAsia" w:ascii="宋体" w:hAnsi="宋体" w:eastAsia="宋体" w:cs="宋体"/>
          <w:sz w:val="24"/>
          <w:szCs w:val="24"/>
        </w:rPr>
        <w:t>1. 流量量程：10升/秒～10米３/秒(由配用量水堰槽的规格决定)</w:t>
      </w:r>
    </w:p>
    <w:p>
      <w:pPr>
        <w:spacing w:line="360" w:lineRule="auto"/>
        <w:jc w:val="left"/>
        <w:rPr>
          <w:rFonts w:ascii="宋体" w:hAnsi="宋体" w:eastAsia="宋体" w:cs="宋体"/>
          <w:sz w:val="24"/>
          <w:szCs w:val="24"/>
        </w:rPr>
      </w:pPr>
      <w:r>
        <w:rPr>
          <w:rFonts w:hint="eastAsia" w:ascii="宋体" w:hAnsi="宋体" w:eastAsia="宋体" w:cs="宋体"/>
          <w:sz w:val="24"/>
          <w:szCs w:val="24"/>
        </w:rPr>
        <w:t>2. 流量不确定度：5%</w:t>
      </w:r>
    </w:p>
    <w:p>
      <w:pPr>
        <w:spacing w:line="360" w:lineRule="auto"/>
        <w:jc w:val="left"/>
        <w:rPr>
          <w:rFonts w:ascii="宋体" w:hAnsi="宋体" w:eastAsia="宋体" w:cs="宋体"/>
          <w:sz w:val="24"/>
          <w:szCs w:val="24"/>
        </w:rPr>
      </w:pPr>
      <w:r>
        <w:rPr>
          <w:rFonts w:hint="eastAsia" w:ascii="宋体" w:hAnsi="宋体" w:eastAsia="宋体" w:cs="宋体"/>
          <w:sz w:val="24"/>
          <w:szCs w:val="24"/>
        </w:rPr>
        <w:t>3. 超声波最大测距：</w:t>
      </w:r>
      <w:r>
        <w:rPr>
          <w:rFonts w:hint="default" w:ascii="Arial" w:hAnsi="Arial" w:eastAsia="宋体" w:cs="Arial"/>
          <w:sz w:val="24"/>
          <w:szCs w:val="24"/>
        </w:rPr>
        <w:t>≥</w:t>
      </w:r>
      <w:r>
        <w:rPr>
          <w:rFonts w:hint="eastAsia" w:ascii="宋体" w:hAnsi="宋体" w:eastAsia="宋体" w:cs="宋体"/>
          <w:sz w:val="24"/>
          <w:szCs w:val="24"/>
        </w:rPr>
        <w:t>2米</w:t>
      </w:r>
    </w:p>
    <w:p>
      <w:pPr>
        <w:spacing w:line="360" w:lineRule="auto"/>
        <w:jc w:val="left"/>
        <w:rPr>
          <w:rFonts w:ascii="宋体" w:hAnsi="宋体" w:eastAsia="宋体" w:cs="宋体"/>
          <w:sz w:val="24"/>
          <w:szCs w:val="24"/>
        </w:rPr>
      </w:pPr>
      <w:r>
        <w:rPr>
          <w:rFonts w:hint="eastAsia" w:ascii="宋体" w:hAnsi="宋体" w:eastAsia="宋体" w:cs="宋体"/>
          <w:sz w:val="24"/>
          <w:szCs w:val="24"/>
        </w:rPr>
        <w:t>4. 探头盲区：0.4米(从探头的法兰盘起，0.4米内不能用于测量)</w:t>
      </w:r>
    </w:p>
    <w:p>
      <w:pPr>
        <w:spacing w:line="360" w:lineRule="auto"/>
        <w:jc w:val="left"/>
        <w:rPr>
          <w:rFonts w:ascii="宋体" w:hAnsi="宋体" w:eastAsia="宋体" w:cs="宋体"/>
          <w:sz w:val="24"/>
          <w:szCs w:val="24"/>
        </w:rPr>
      </w:pPr>
      <w:r>
        <w:rPr>
          <w:rFonts w:hint="eastAsia" w:ascii="宋体" w:hAnsi="宋体" w:eastAsia="宋体" w:cs="宋体"/>
          <w:sz w:val="24"/>
          <w:szCs w:val="24"/>
        </w:rPr>
        <w:t>5. 测距误差：＜0.4%  或±3毫米（在1米量程内）</w:t>
      </w:r>
    </w:p>
    <w:p>
      <w:pPr>
        <w:spacing w:line="360" w:lineRule="auto"/>
        <w:jc w:val="left"/>
        <w:rPr>
          <w:rFonts w:ascii="宋体" w:hAnsi="宋体" w:eastAsia="宋体" w:cs="宋体"/>
          <w:sz w:val="24"/>
          <w:szCs w:val="24"/>
        </w:rPr>
      </w:pPr>
      <w:r>
        <w:rPr>
          <w:rFonts w:hint="eastAsia" w:ascii="宋体" w:hAnsi="宋体" w:eastAsia="宋体" w:cs="宋体"/>
          <w:sz w:val="24"/>
          <w:szCs w:val="24"/>
        </w:rPr>
        <w:t>6. 水位分辨力：1毫米</w:t>
      </w:r>
    </w:p>
    <w:p>
      <w:pPr>
        <w:spacing w:line="360" w:lineRule="auto"/>
        <w:jc w:val="left"/>
        <w:rPr>
          <w:rFonts w:ascii="宋体" w:hAnsi="宋体" w:eastAsia="宋体" w:cs="宋体"/>
          <w:sz w:val="24"/>
          <w:szCs w:val="24"/>
        </w:rPr>
      </w:pPr>
      <w:r>
        <w:rPr>
          <w:rFonts w:hint="eastAsia" w:ascii="宋体" w:hAnsi="宋体" w:eastAsia="宋体" w:cs="宋体"/>
          <w:sz w:val="24"/>
          <w:szCs w:val="24"/>
        </w:rPr>
        <w:t>7. 工作环境温度：-20℃～+70℃</w:t>
      </w:r>
    </w:p>
    <w:p>
      <w:pPr>
        <w:spacing w:line="360" w:lineRule="auto"/>
        <w:jc w:val="left"/>
        <w:rPr>
          <w:rFonts w:ascii="宋体" w:hAnsi="宋体" w:eastAsia="宋体" w:cs="宋体"/>
          <w:sz w:val="24"/>
          <w:szCs w:val="24"/>
        </w:rPr>
      </w:pPr>
      <w:r>
        <w:rPr>
          <w:rFonts w:hint="eastAsia" w:ascii="宋体" w:hAnsi="宋体" w:eastAsia="宋体" w:cs="宋体"/>
          <w:sz w:val="24"/>
          <w:szCs w:val="24"/>
        </w:rPr>
        <w:t>8. 仪器防护：探头为可浸水式；仪器为防尘式</w:t>
      </w:r>
    </w:p>
    <w:p>
      <w:pPr>
        <w:spacing w:line="360" w:lineRule="auto"/>
        <w:jc w:val="left"/>
        <w:rPr>
          <w:rFonts w:ascii="宋体" w:hAnsi="宋体" w:eastAsia="宋体" w:cs="宋体"/>
          <w:sz w:val="24"/>
          <w:szCs w:val="24"/>
        </w:rPr>
      </w:pPr>
      <w:r>
        <w:rPr>
          <w:rFonts w:hint="eastAsia" w:ascii="宋体" w:hAnsi="宋体" w:eastAsia="宋体" w:cs="宋体"/>
          <w:sz w:val="24"/>
          <w:szCs w:val="24"/>
        </w:rPr>
        <w:t>9. 交流或直流供电： 交流：220V　50HZ  4W。直流：12V  60mA   (交流、直流同时存在，仪表使用交流，交流掉电时，自动接通直流)全密封结构，可在恶劣的环境里长期可靠运行。非接触式测量，不受污水的腐蚀和粘污；</w:t>
      </w:r>
    </w:p>
    <w:bookmarkEnd w:id="6"/>
    <w:p>
      <w:pPr>
        <w:spacing w:line="360" w:lineRule="auto"/>
        <w:jc w:val="left"/>
        <w:rPr>
          <w:rFonts w:ascii="宋体" w:hAnsi="宋体" w:eastAsia="宋体" w:cs="宋体"/>
          <w:b w:val="0"/>
          <w:bCs w:val="0"/>
          <w:sz w:val="24"/>
          <w:szCs w:val="24"/>
        </w:rPr>
      </w:pPr>
      <w:r>
        <w:rPr>
          <w:rFonts w:hint="eastAsia" w:ascii="宋体" w:hAnsi="宋体" w:eastAsia="宋体" w:cs="宋体"/>
          <w:b/>
          <w:bCs/>
          <w:sz w:val="24"/>
          <w:szCs w:val="24"/>
        </w:rPr>
        <w:t>传感器</w:t>
      </w:r>
      <w:r>
        <w:rPr>
          <w:rFonts w:hint="eastAsia" w:ascii="宋体" w:hAnsi="宋体" w:eastAsia="宋体" w:cs="宋体"/>
          <w:b w:val="0"/>
          <w:bCs w:val="0"/>
          <w:sz w:val="24"/>
          <w:szCs w:val="24"/>
        </w:rPr>
        <w:t xml:space="preserve"> </w:t>
      </w:r>
    </w:p>
    <w:p>
      <w:pPr>
        <w:spacing w:line="360" w:lineRule="auto"/>
        <w:jc w:val="left"/>
        <w:rPr>
          <w:rFonts w:ascii="宋体" w:hAnsi="宋体" w:eastAsia="宋体" w:cs="宋体"/>
          <w:sz w:val="24"/>
          <w:szCs w:val="24"/>
        </w:rPr>
      </w:pPr>
      <w:r>
        <w:rPr>
          <w:rFonts w:hint="eastAsia" w:ascii="宋体" w:hAnsi="宋体" w:eastAsia="宋体" w:cs="宋体"/>
          <w:sz w:val="24"/>
          <w:szCs w:val="24"/>
        </w:rPr>
        <w:t>传感器类型：超声波探头；</w:t>
      </w:r>
    </w:p>
    <w:p>
      <w:pPr>
        <w:spacing w:line="360" w:lineRule="auto"/>
        <w:jc w:val="left"/>
        <w:rPr>
          <w:rFonts w:ascii="宋体" w:hAnsi="宋体" w:eastAsia="宋体" w:cs="宋体"/>
          <w:sz w:val="24"/>
          <w:szCs w:val="24"/>
        </w:rPr>
      </w:pPr>
      <w:r>
        <w:rPr>
          <w:rFonts w:hint="eastAsia" w:ascii="宋体" w:hAnsi="宋体" w:eastAsia="宋体" w:cs="宋体"/>
          <w:sz w:val="24"/>
          <w:szCs w:val="24"/>
        </w:rPr>
        <w:t>流量范围：10升/秒~ 10米3/秒；</w:t>
      </w:r>
    </w:p>
    <w:p>
      <w:pPr>
        <w:spacing w:line="360" w:lineRule="auto"/>
        <w:jc w:val="left"/>
        <w:rPr>
          <w:rFonts w:ascii="宋体" w:hAnsi="宋体" w:eastAsia="宋体" w:cs="宋体"/>
          <w:sz w:val="24"/>
          <w:szCs w:val="24"/>
        </w:rPr>
      </w:pPr>
      <w:r>
        <w:rPr>
          <w:rFonts w:hint="eastAsia" w:ascii="宋体" w:hAnsi="宋体" w:eastAsia="宋体" w:cs="宋体"/>
          <w:sz w:val="24"/>
          <w:szCs w:val="24"/>
        </w:rPr>
        <w:t>测量范围：0.4-2米，水位分辨率1mm；</w:t>
      </w:r>
    </w:p>
    <w:p>
      <w:pPr>
        <w:spacing w:line="360" w:lineRule="auto"/>
        <w:jc w:val="left"/>
        <w:rPr>
          <w:rFonts w:ascii="宋体" w:hAnsi="宋体" w:eastAsia="宋体" w:cs="宋体"/>
          <w:sz w:val="24"/>
          <w:szCs w:val="24"/>
        </w:rPr>
      </w:pPr>
      <w:r>
        <w:rPr>
          <w:rFonts w:hint="eastAsia" w:ascii="宋体" w:hAnsi="宋体" w:eastAsia="宋体" w:cs="宋体"/>
          <w:sz w:val="24"/>
          <w:szCs w:val="24"/>
        </w:rPr>
        <w:t>环境温度：-20-50℃；</w:t>
      </w:r>
    </w:p>
    <w:p>
      <w:pPr>
        <w:spacing w:line="360" w:lineRule="auto"/>
        <w:jc w:val="left"/>
        <w:rPr>
          <w:rFonts w:ascii="宋体" w:hAnsi="宋体" w:eastAsia="宋体" w:cs="宋体"/>
          <w:sz w:val="24"/>
          <w:szCs w:val="24"/>
        </w:rPr>
      </w:pPr>
      <w:r>
        <w:rPr>
          <w:rFonts w:hint="eastAsia" w:ascii="宋体" w:hAnsi="宋体" w:eastAsia="宋体" w:cs="宋体"/>
          <w:sz w:val="24"/>
          <w:szCs w:val="24"/>
        </w:rPr>
        <w:t>盲区：&lt;0.4米；</w:t>
      </w:r>
    </w:p>
    <w:p>
      <w:pPr>
        <w:spacing w:line="360" w:lineRule="auto"/>
        <w:jc w:val="left"/>
        <w:rPr>
          <w:rFonts w:ascii="宋体" w:hAnsi="宋体" w:eastAsia="宋体" w:cs="宋体"/>
          <w:sz w:val="24"/>
          <w:szCs w:val="24"/>
        </w:rPr>
      </w:pPr>
      <w:r>
        <w:rPr>
          <w:rFonts w:hint="eastAsia" w:ascii="宋体" w:hAnsi="宋体" w:eastAsia="宋体" w:cs="宋体"/>
          <w:sz w:val="24"/>
          <w:szCs w:val="24"/>
        </w:rPr>
        <w:t>重复性：≤满量程的0.5%；</w:t>
      </w:r>
    </w:p>
    <w:p>
      <w:pPr>
        <w:spacing w:line="360" w:lineRule="auto"/>
        <w:jc w:val="left"/>
        <w:rPr>
          <w:rFonts w:ascii="宋体" w:hAnsi="宋体" w:eastAsia="宋体" w:cs="宋体"/>
          <w:sz w:val="24"/>
          <w:szCs w:val="24"/>
        </w:rPr>
      </w:pPr>
      <w:r>
        <w:rPr>
          <w:rFonts w:hint="eastAsia" w:ascii="宋体" w:hAnsi="宋体" w:eastAsia="宋体" w:cs="宋体"/>
          <w:sz w:val="24"/>
          <w:szCs w:val="24"/>
        </w:rPr>
        <w:t>温度补偿: 自动补偿-40℃～+80℃。</w:t>
      </w:r>
    </w:p>
    <w:p>
      <w:pPr>
        <w:spacing w:line="360" w:lineRule="auto"/>
        <w:jc w:val="left"/>
        <w:rPr>
          <w:rFonts w:ascii="宋体" w:hAnsi="宋体" w:eastAsia="宋体" w:cs="宋体"/>
          <w:b/>
          <w:bCs/>
          <w:sz w:val="24"/>
          <w:szCs w:val="24"/>
        </w:rPr>
      </w:pPr>
      <w:bookmarkStart w:id="7" w:name="_Toc118279977"/>
      <w:r>
        <w:rPr>
          <w:rFonts w:hint="eastAsia" w:ascii="宋体" w:hAnsi="宋体" w:eastAsia="宋体" w:cs="宋体"/>
          <w:b/>
          <w:bCs/>
          <w:sz w:val="24"/>
          <w:szCs w:val="24"/>
        </w:rPr>
        <w:t>变送器</w:t>
      </w:r>
    </w:p>
    <w:p>
      <w:pPr>
        <w:spacing w:line="360" w:lineRule="auto"/>
        <w:jc w:val="left"/>
        <w:rPr>
          <w:rFonts w:ascii="宋体" w:hAnsi="宋体" w:eastAsia="宋体" w:cs="宋体"/>
          <w:sz w:val="24"/>
          <w:szCs w:val="24"/>
        </w:rPr>
      </w:pPr>
      <w:r>
        <w:rPr>
          <w:rFonts w:hint="eastAsia" w:ascii="宋体" w:hAnsi="宋体" w:eastAsia="宋体" w:cs="宋体"/>
          <w:sz w:val="24"/>
          <w:szCs w:val="24"/>
        </w:rPr>
        <w:t>环境温度：-10－45℃；</w:t>
      </w:r>
    </w:p>
    <w:p>
      <w:pPr>
        <w:spacing w:line="360" w:lineRule="auto"/>
        <w:jc w:val="left"/>
        <w:rPr>
          <w:rFonts w:ascii="宋体" w:hAnsi="宋体" w:eastAsia="宋体" w:cs="宋体"/>
          <w:sz w:val="24"/>
          <w:szCs w:val="24"/>
        </w:rPr>
      </w:pPr>
      <w:r>
        <w:rPr>
          <w:rFonts w:hint="eastAsia" w:ascii="宋体" w:hAnsi="宋体" w:eastAsia="宋体" w:cs="宋体"/>
          <w:sz w:val="24"/>
          <w:szCs w:val="24"/>
        </w:rPr>
        <w:t>外壳防护：传感器IP68、变送器IP54；</w:t>
      </w:r>
    </w:p>
    <w:p>
      <w:pPr>
        <w:spacing w:line="360" w:lineRule="auto"/>
        <w:jc w:val="left"/>
        <w:rPr>
          <w:rFonts w:ascii="宋体" w:hAnsi="宋体" w:eastAsia="宋体" w:cs="宋体"/>
          <w:sz w:val="24"/>
          <w:szCs w:val="24"/>
        </w:rPr>
      </w:pPr>
      <w:r>
        <w:rPr>
          <w:rFonts w:hint="eastAsia" w:ascii="宋体" w:hAnsi="宋体" w:eastAsia="宋体" w:cs="宋体"/>
          <w:sz w:val="24"/>
          <w:szCs w:val="24"/>
        </w:rPr>
        <w:t>内置标准转换算法；</w:t>
      </w:r>
    </w:p>
    <w:p>
      <w:pPr>
        <w:spacing w:line="360" w:lineRule="auto"/>
        <w:jc w:val="left"/>
        <w:rPr>
          <w:rFonts w:ascii="宋体" w:hAnsi="宋体" w:eastAsia="宋体" w:cs="宋体"/>
          <w:sz w:val="24"/>
          <w:szCs w:val="24"/>
        </w:rPr>
      </w:pPr>
      <w:r>
        <w:rPr>
          <w:rFonts w:hint="eastAsia" w:ascii="宋体" w:hAnsi="宋体" w:eastAsia="宋体" w:cs="宋体"/>
          <w:sz w:val="24"/>
          <w:szCs w:val="24"/>
        </w:rPr>
        <w:t>显示精度：液位0.001米；</w:t>
      </w:r>
    </w:p>
    <w:p>
      <w:pPr>
        <w:spacing w:line="360" w:lineRule="auto"/>
        <w:jc w:val="left"/>
        <w:rPr>
          <w:rFonts w:ascii="宋体" w:hAnsi="宋体" w:eastAsia="宋体" w:cs="宋体"/>
          <w:sz w:val="24"/>
          <w:szCs w:val="24"/>
        </w:rPr>
      </w:pPr>
      <w:r>
        <w:rPr>
          <w:rFonts w:hint="eastAsia" w:ascii="宋体" w:hAnsi="宋体" w:eastAsia="宋体" w:cs="宋体"/>
          <w:sz w:val="24"/>
          <w:szCs w:val="24"/>
        </w:rPr>
        <w:t>测量误差：与标准堰槽相关三角堰5%、矩形堰5%、巴歇尔槽5% ；</w:t>
      </w:r>
    </w:p>
    <w:p>
      <w:pPr>
        <w:spacing w:line="360" w:lineRule="auto"/>
        <w:jc w:val="left"/>
        <w:rPr>
          <w:rFonts w:ascii="宋体" w:hAnsi="宋体" w:eastAsia="宋体" w:cs="宋体"/>
          <w:sz w:val="24"/>
          <w:szCs w:val="24"/>
        </w:rPr>
      </w:pPr>
      <w:r>
        <w:rPr>
          <w:rFonts w:hint="eastAsia" w:ascii="宋体" w:hAnsi="宋体" w:eastAsia="宋体" w:cs="宋体"/>
          <w:sz w:val="24"/>
          <w:szCs w:val="24"/>
        </w:rPr>
        <w:t>分辨率：液位1cm，瞬时流量分辨率：0.1m3/h。</w:t>
      </w:r>
    </w:p>
    <w:bookmarkEnd w:id="7"/>
    <w:p>
      <w:pPr>
        <w:spacing w:line="360" w:lineRule="auto"/>
        <w:jc w:val="left"/>
        <w:rPr>
          <w:rFonts w:ascii="宋体" w:hAnsi="宋体" w:eastAsia="宋体" w:cs="宋体"/>
          <w:sz w:val="24"/>
          <w:szCs w:val="24"/>
        </w:rPr>
      </w:pPr>
    </w:p>
    <w:p>
      <w:pPr>
        <w:spacing w:line="360" w:lineRule="auto"/>
        <w:jc w:val="left"/>
        <w:rPr>
          <w:rFonts w:ascii="宋体" w:hAnsi="宋体" w:eastAsia="宋体" w:cs="宋体"/>
          <w:b/>
          <w:bCs/>
          <w:sz w:val="24"/>
          <w:szCs w:val="24"/>
        </w:rPr>
      </w:pPr>
      <w:r>
        <w:rPr>
          <w:rFonts w:hint="eastAsia" w:ascii="宋体" w:hAnsi="宋体" w:eastAsia="宋体" w:cs="宋体"/>
          <w:b/>
          <w:bCs/>
          <w:sz w:val="24"/>
          <w:szCs w:val="24"/>
        </w:rPr>
        <w:t>数据采集传输仪技术参数</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6 路带隔离的 RS-232 接口，波特率范围：1200-115200，支持 Modbus 协议，已内置多种仪表协议。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1 路带隔离的 RS-485 接口，波特率范围：1200-115200，支持 Modbus 协议，已内置多种仪表协议。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8 路模拟量输入通道，16 位分辨率，支持 4-20mA 电流信号，0-5V 电压信号，可配置为输入 4 路 4-20mA 差分电流信号，或者4 路 0-5V 差分电压信号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8 路带隔离的开关量输入通道，输入电压范围：0-5VDC，可接受最高 30VDC 的电压输入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2 路继电器输出，负载能力为 24VDC/1A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内置以太网接口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内置 GPRS 通信模块（可选配 CDMA）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320 X 240 点阵的 LCD，配 16 个触摸按键的薄膜键盘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内置存储器可以保存一年的历史数据，掉电不丢失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内置可充电锂电池，保证断电情况下最少正常运行 6 小时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选用工业级的部件，高可靠性、高稳定性 </w:t>
      </w:r>
    </w:p>
    <w:p>
      <w:pPr>
        <w:spacing w:line="360" w:lineRule="auto"/>
        <w:jc w:val="left"/>
        <w:rPr>
          <w:rFonts w:ascii="宋体" w:hAnsi="宋体" w:eastAsia="宋体" w:cs="宋体"/>
          <w:sz w:val="24"/>
          <w:szCs w:val="24"/>
        </w:rPr>
      </w:pPr>
      <w:r>
        <w:rPr>
          <w:rFonts w:hint="eastAsia" w:ascii="宋体" w:hAnsi="宋体" w:eastAsia="宋体" w:cs="宋体"/>
          <w:sz w:val="24"/>
          <w:szCs w:val="24"/>
        </w:rPr>
        <w:t xml:space="preserve">● 设备代码（固件）可以远程升级 </w:t>
      </w:r>
    </w:p>
    <w:bookmarkEnd w:id="5"/>
    <w:p>
      <w:pPr>
        <w:numPr>
          <w:ilvl w:val="0"/>
          <w:numId w:val="0"/>
        </w:numPr>
        <w:spacing w:line="360" w:lineRule="auto"/>
        <w:rPr>
          <w:rFonts w:ascii="宋体" w:hAnsi="宋体" w:eastAsia="宋体" w:cs="宋体"/>
          <w:b/>
          <w:bCs/>
          <w:sz w:val="24"/>
          <w:szCs w:val="24"/>
        </w:rPr>
      </w:pPr>
      <w:r>
        <w:rPr>
          <w:rFonts w:hint="eastAsia" w:ascii="宋体" w:hAnsi="宋体" w:eastAsia="宋体" w:cs="宋体"/>
          <w:b/>
          <w:bCs/>
          <w:sz w:val="24"/>
          <w:szCs w:val="24"/>
        </w:rPr>
        <w:t>PH在线仪技术参数</w:t>
      </w:r>
    </w:p>
    <w:p>
      <w:pPr>
        <w:widowControl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1、测量范围:pH:-2～16.00pH mV :  -1999～+1999 mV   Temp:-30～130℃;</w:t>
      </w:r>
      <w:r>
        <w:rPr>
          <w:rFonts w:hint="eastAsia" w:ascii="宋体" w:hAnsi="宋体" w:eastAsia="宋体" w:cs="宋体"/>
          <w:kern w:val="0"/>
          <w:sz w:val="24"/>
          <w:szCs w:val="24"/>
        </w:rPr>
        <w:br w:type="textWrapping"/>
      </w:r>
      <w:r>
        <w:rPr>
          <w:rFonts w:hint="eastAsia" w:ascii="宋体" w:hAnsi="宋体" w:eastAsia="宋体" w:cs="宋体"/>
          <w:kern w:val="0"/>
          <w:sz w:val="24"/>
          <w:szCs w:val="24"/>
        </w:rPr>
        <w:t>2、精 确 度:pH:±0.01pH±1Digit mV: ±1mv±1Digit   Temp: ±0.2℃±1Digit;</w:t>
      </w:r>
      <w:r>
        <w:rPr>
          <w:rFonts w:hint="eastAsia" w:ascii="宋体" w:hAnsi="宋体" w:eastAsia="宋体" w:cs="宋体"/>
          <w:kern w:val="0"/>
          <w:sz w:val="24"/>
          <w:szCs w:val="24"/>
        </w:rPr>
        <w:br w:type="textWrapping"/>
      </w:r>
      <w:r>
        <w:rPr>
          <w:rFonts w:hint="eastAsia" w:ascii="宋体" w:hAnsi="宋体" w:eastAsia="宋体" w:cs="宋体"/>
          <w:kern w:val="0"/>
          <w:sz w:val="24"/>
          <w:szCs w:val="24"/>
        </w:rPr>
        <w:t>3、温度补偿:按键设定或PT1000、NTC30K自动温度补偿;</w:t>
      </w:r>
      <w:r>
        <w:rPr>
          <w:rFonts w:hint="eastAsia" w:ascii="宋体" w:hAnsi="宋体" w:eastAsia="宋体" w:cs="宋体"/>
          <w:kern w:val="0"/>
          <w:sz w:val="24"/>
          <w:szCs w:val="24"/>
        </w:rPr>
        <w:br w:type="textWrapping"/>
      </w:r>
      <w:r>
        <w:rPr>
          <w:rFonts w:hint="eastAsia" w:ascii="宋体" w:hAnsi="宋体" w:eastAsia="宋体" w:cs="宋体"/>
          <w:kern w:val="0"/>
          <w:sz w:val="24"/>
          <w:szCs w:val="24"/>
        </w:rPr>
        <w:t>4、温度显示:显示被测液体温度值(使用温度传感器自动识别);</w:t>
      </w:r>
      <w:r>
        <w:rPr>
          <w:rFonts w:hint="eastAsia" w:ascii="宋体" w:hAnsi="宋体" w:eastAsia="宋体" w:cs="宋体"/>
          <w:kern w:val="0"/>
          <w:sz w:val="24"/>
          <w:szCs w:val="24"/>
        </w:rPr>
        <w:br w:type="textWrapping"/>
      </w:r>
      <w:r>
        <w:rPr>
          <w:rFonts w:hint="eastAsia" w:ascii="宋体" w:hAnsi="宋体" w:eastAsia="宋体" w:cs="宋体"/>
          <w:kern w:val="0"/>
          <w:sz w:val="24"/>
          <w:szCs w:val="24"/>
        </w:rPr>
        <w:t>5、校 正:单点/两点/三点自动校正(自动识别标准液);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6、警报输出:高/低警报、滞后任意程序设定 两组ON/OFF输出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7、电流输出:隔离式DC4～20mA输出.两路4～20mA输出对应设定pH或ORP或Temp(项可选同时可逆可调);输出可逆和可</w:t>
      </w:r>
      <w:r>
        <w:rPr>
          <w:rFonts w:hint="eastAsia" w:ascii="宋体" w:hAnsi="宋体" w:eastAsia="宋体" w:cs="宋体"/>
          <w:kern w:val="0"/>
          <w:sz w:val="24"/>
          <w:szCs w:val="24"/>
        </w:rPr>
        <w:br w:type="textWrapping"/>
      </w:r>
      <w:r>
        <w:rPr>
          <w:rFonts w:hint="eastAsia" w:ascii="宋体" w:hAnsi="宋体" w:eastAsia="宋体" w:cs="宋体"/>
          <w:kern w:val="0"/>
          <w:sz w:val="24"/>
          <w:szCs w:val="24"/>
        </w:rPr>
        <w:t>调,以实现计量泵的精密加药;</w:t>
      </w:r>
      <w:r>
        <w:rPr>
          <w:rFonts w:hint="eastAsia" w:ascii="宋体" w:hAnsi="宋体" w:eastAsia="宋体" w:cs="宋体"/>
          <w:kern w:val="0"/>
          <w:sz w:val="24"/>
          <w:szCs w:val="24"/>
        </w:rPr>
        <w:br w:type="textWrapping"/>
      </w:r>
      <w:r>
        <w:rPr>
          <w:rFonts w:hint="eastAsia" w:ascii="宋体" w:hAnsi="宋体" w:eastAsia="宋体" w:cs="宋体"/>
          <w:kern w:val="0"/>
          <w:sz w:val="24"/>
          <w:szCs w:val="24"/>
        </w:rPr>
        <w:t>8、环境温度:0～65℃;</w:t>
      </w:r>
      <w:r>
        <w:rPr>
          <w:rFonts w:hint="eastAsia" w:ascii="宋体" w:hAnsi="宋体" w:eastAsia="宋体" w:cs="宋体"/>
          <w:kern w:val="0"/>
          <w:sz w:val="24"/>
          <w:szCs w:val="24"/>
        </w:rPr>
        <w:br w:type="textWrapping"/>
      </w:r>
      <w:r>
        <w:rPr>
          <w:rFonts w:hint="eastAsia" w:ascii="宋体" w:hAnsi="宋体" w:eastAsia="宋体" w:cs="宋体"/>
          <w:kern w:val="0"/>
          <w:sz w:val="24"/>
          <w:szCs w:val="24"/>
        </w:rPr>
        <w:t>9、湿 度: ≤95%;</w:t>
      </w:r>
      <w:r>
        <w:rPr>
          <w:rFonts w:hint="eastAsia" w:ascii="宋体" w:hAnsi="宋体" w:eastAsia="宋体" w:cs="宋体"/>
          <w:kern w:val="0"/>
          <w:sz w:val="24"/>
          <w:szCs w:val="24"/>
        </w:rPr>
        <w:br w:type="textWrapping"/>
      </w:r>
      <w:r>
        <w:rPr>
          <w:rFonts w:hint="eastAsia" w:ascii="宋体" w:hAnsi="宋体" w:eastAsia="宋体" w:cs="宋体"/>
          <w:kern w:val="0"/>
          <w:sz w:val="24"/>
          <w:szCs w:val="24"/>
        </w:rPr>
        <w:t>10、防护等级:IP65;</w:t>
      </w:r>
      <w:r>
        <w:rPr>
          <w:rFonts w:hint="eastAsia" w:ascii="宋体" w:hAnsi="宋体" w:eastAsia="宋体" w:cs="宋体"/>
          <w:kern w:val="0"/>
          <w:sz w:val="24"/>
          <w:szCs w:val="24"/>
        </w:rPr>
        <w:br w:type="textWrapping"/>
      </w:r>
      <w:r>
        <w:rPr>
          <w:rFonts w:hint="eastAsia" w:ascii="宋体" w:hAnsi="宋体" w:eastAsia="宋体" w:cs="宋体"/>
          <w:kern w:val="0"/>
          <w:sz w:val="24"/>
          <w:szCs w:val="24"/>
        </w:rPr>
        <w:t>11、供电电源:AC100～240V宽电源输入,50/60Hz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12、安装方式:挂壁安装或92×92mm 挖孔安装或圆管挂装式;</w:t>
      </w:r>
      <w:r>
        <w:rPr>
          <w:rFonts w:hint="eastAsia" w:ascii="宋体" w:hAnsi="宋体" w:eastAsia="宋体" w:cs="宋体"/>
          <w:kern w:val="0"/>
          <w:sz w:val="24"/>
          <w:szCs w:val="24"/>
        </w:rPr>
        <w:br w:type="textWrapping"/>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第五章 谈判程序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1、谈判小组及专家组成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根据《中华人民共和国政府采购法》和《政府采购非招标采购方式管理办法》、《四川省政府采购非招标采购方式实施办法》等的规定并结合本次采购项目的实 际情况，谈判小组由采购人的代表和有关方面的专家三人以上的单数组成（若谈 判项目预算达到政府采购公开招标限额标准的，谈判小组为五人以上单数组成）， 其中专家人数不少于成员总数的三分之二，负责本次采购项目的竞争性谈判和评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审工作。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2、谈判组织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谈判工作由采购代理机构组织，具体谈判事务由依法组建的谈判小组负责。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3、谈判程序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3.1 响应文件的资格审查。在供应商递交响应文件截止时间结束后，采购代 理机构组织谈判小组对递交响应文件的供应商进行资格审查。 确定参加谈判的供应商数量采用合格数量制，即谈判小组对各供应商资格审 查后，凡符合本竞争性谈判文件规定资格条件的，均进入谈判。 谈判小组资格审查结束后，向采购代理机构出具资格审查报告，确定参加谈 判的供应商名单。没有通过资格审查的供应商，谈判小组应在资格审查报告中说 明原因。</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采购代理机构收到谈判小组出具的资格审查报告后，当场向所有递交响应文 件的供应商宣布通过及未通过资格审查的供应商名单，并在谈判结果公示中向社 会公布。</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3.2 通过资格审查的供应商不足三家的，本次竞争性谈判采购活动终止。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3.3 采购代理机构组织谈判小组成员按谈判文件规定集中与通过资格审查 的供应商分别进行谈判，谈判的顺序以现场抽签的方式确定。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3.4 谈判过程中，谈判小组对所有响应文件的有效性、完整性和响应程度进 行审查（符合性审查），审查中发现供应商响应文件属于下列情况之一的，应按 照无效响应文件处理：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（1）响应文件正副本数量不足的；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（2）响应文件组成明显不符合招标文件的规定要求，影响谈判小组评判的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（3）响应文件的语言、计量单位、报价货币、知识产权、响应有效期等不 符合采购文件的规定，影响谈判小组评判的；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（4）最后报价超过采购文件规定的政府采购预算（或最高限价）或者相关 报价不符合采购文件其他的报价规定的；</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16（5）经最终谈判后，供应商的响应文件仍不能完全响应采购文件的实质性 要求的；</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 谈判小组认为供应商报价明显低于成本价，在谈判小组发出质询函后 供应商未能提供合理的成本分析和价格构成的或对质函询的解释未被谈判小组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采信的。但谈判小组对响应文件密封、签署、盖章等进行审查过程中，有下列情形的， 谈判小组应当评定为不影响整个响应文件有效性和采购活动公平竞争，并通过响 应文件的有效性审查：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（1）响应文件密封时未加盖、少加盖公章或者密封章，但是密封完好、完 整标明了供应商名称且得到供应商（法定代表人/单位负责人或者授权代理人） 现场认可的；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（2）响应文件正副本数量齐全、密封完好，只是未按照采购文件要求进行 分装或者统装的；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（3）响应文件存在个别地方（总数不能超过2个）没有法定代表人/单位负 责人签字，但有法定代表人/单位负责人的私人印章或者有效授权代理人签字的；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（4）响应文件除采购文件明确要求加盖单位(法人)公章的以外，其他地方 以相关专用章加盖的；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（5）以骑缝章的形式代替响应文件内容逐页盖章的（但是骑缝章模糊不清， 印章名称无法辨认的除外）。 谈判小组在对响应文件的有效性、完整性和响应程度进行审查时，可以要求 供应商对响应文件中含义不明确、同类问题表述不一致或者有明显文字和计算错 误的内容等作出必要的澄清、说明或者更正。供应商的澄清、说明或者更正不得 超出响应文件的范围或者改变响应文件的实质性内容。（注：谈判小组要求供应 商澄清、说明或者更正响应文件应当以书面形式作出。供应商的澄清、说明或者 更正应当由法定代表人/单位负责人或其授权代表签字或者加盖公章。由授权代 表签字的，应当附法定代表人/单位负责人授权书。供应商为自然人的，应当由 本人签字并附身份证明。） 谈判小组符合性审查结束后，向采购代理机构出具符合性审查报告，确定继 续谈判的供应商名单。没有通过符合性审查的供应商，谈判小组应在符合性审查 报告中说明原因。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3.5 通过符合性审查的供应商不足三家的，本次竞争性谈判采购活动终止。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3.6 谈判过程中，谈判小组可以根据谈判情况调整谈判轮次。谈判小组经采 购人代表确认后，可以根据谈判情况实质性变动采购需求中的技术、服务要求以 及合同草案条款，并将变更的内容及时以书面形式通知所有参加谈判的供应商， 变动通知为本次谈判文件的有效组成部分。供应商可以根据谈判情况变更其响应 文件，并将变更内容形成书面材料送谈判小组。变更内容应作为响应文件的一部。供应商书面材料应当签字确认，否则无效。供应商为法人的，应当由其法定 代表人/单位负责人或者代理人签字确认。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3.7 谈判达到供应商响应文件符合采购需求、质量和服务相等的前提下，谈判小组应要求供应商进行最后报价。 供应商响应文件满足或者高于谈判文件规定的采购项目最低要求时，即视同 供应商响应文件符合采购需求、质量和服务相等。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3.8 谈判小组经过三轮及以上谈判后，供应商响应文件仍然不能满足谈判文 件规定的采购项目最低要求的，或者谈判过程中，谈判小组发现或者知晓供应商 存在违法、违纪行为的，谈判小组应当将该供应商淘汰，不允许其参加最后报价。 谈判小组淘汰供应商的，应当书面通知该供应商，并说明理由。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3.9 供应商进行最后报价，应当在谈判室外填写报价单，密封递交采购代理 机构工作人员，由采购代理机构工作人员收齐后集中递交谈判小组。采购代理机 构工作人员不能拆封供应商报价单。 供应商报价单应当由法定代表人/单位负责人或者其代理人签字确认，否则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无效。供应商两轮（响应文件中的报价算一轮）以上报价的，供应商在未提高响应 文件中承诺的产品及其服务的情况下，其最后报价不得高于对该项目之前的报 价，否则评审委员会应当对其响应文件按无效处理，并书面告知供应商，说明理 由。</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3.10 最后报价经谈判小组确认后，由谈判小组采用最低评标价法对供应商 的最后报价进行评审。 在评审过程中，供应商报价低于采购预算50%或者低于其他有效供应商报价算术平均价40%，有可能影产品质量或者不能诚信履约的，谈判小组应当要求其在评审现场合理的时间内提供成本构成书面说明，并提交相关证明材料。供应商书面说明应当按照国家财务会计制度的规定要求，逐项就供应商提供的货物、 工程和服务的主营业务成本（应根据供应商企业类型予以区别）、税金及附加、销售费用、管理费用、财务费用等成本构成事项详细陈述。供应商书面说明应当签字确认或者加盖公章，否则无效。书面说明的签字确 认，供应商为法人的，由其法定代表人/单位负责人或者代理人签字确认；供应商为其他组织的，由其主要负责人或者代理人签字确认；供应商为自然人的，由其本人或者代理人签字确认。供应商提供书面说明后，谈判小组应当结合采购项目采购需求、专业实际情况、供应商财务状况报告、与其他供应商比较情况等就供应商书面说明进行审查评价。供应商拒绝或者变相拒绝提供有效书面说明或者书面说明不能证明其报价合理性的，谈判小组应当将其响应文件作为无效处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3.11 谈判结束后，部分供应商响应文件优于谈判文件要求的，不能以此作为高价成交的依据，谈判小组也不能接受其高价成交。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3.12 谈判过程中，有下列情形之一的，谈判失败：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（一）通过资格审查的供应商不足三家的；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（二）参加谈判的供应商被淘汰，最后报价的供应商不足三家的；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（三）供应商最后报价均超过政府采购预算或者本次采购项目最高限价，且采购人不能支付的；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（四）其他无法继续开展谈判或者无法成交的情形。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4、确定成交供应商的标准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4.1 本次谈判活动遵循公平、公正、科学、择优的原则进行。谈判小组根据符合采购需求、质量和服务相等且报价最低的原则，按报价从低到高确定成交供应商候选人。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4.2 供应商报价结束后，谈判小组按照供应商的报价由低到高排序，推荐成交候选供应商。谈判小组按照供应商的报价由低到高排序，推荐三名以上成交候选供应商。供应商报价相同的，成交候选供应商并列。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4.3 谈判小组推荐成交候选供应商后，应当向采购代理机构出具评审报告。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4.4 对于违反谈判纪律的将可能被取消成交供应商资格或视为无效响应。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第七章 响应文件（格式）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（正本/副本）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政府采购项目 响 应 文 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（封面）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项目名称：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采购编号：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供应商名称 ：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法定代表人/单位负责人姓名：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地址： 邮编：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电话： 传真：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网址：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电子邮箱：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响应代表： 签字： </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r>
        <w:rPr>
          <w:rFonts w:hint="eastAsia" w:ascii="仿宋" w:hAnsi="仿宋" w:eastAsia="仿宋" w:cs="仿宋"/>
          <w:b/>
          <w:color w:val="000000"/>
          <w:kern w:val="0"/>
          <w:sz w:val="28"/>
          <w:szCs w:val="28"/>
          <w:lang w:val="en-US" w:eastAsia="zh-CN" w:bidi="ar"/>
        </w:rPr>
        <w:t xml:space="preserve">手机：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日期 ：201 年 月 日</w:t>
      </w:r>
      <w:r>
        <w:rPr>
          <w:rFonts w:hint="eastAsia" w:ascii="仿宋" w:hAnsi="仿宋" w:eastAsia="仿宋" w:cs="仿宋"/>
          <w:color w:val="000000"/>
          <w:kern w:val="0"/>
          <w:sz w:val="28"/>
          <w:szCs w:val="28"/>
          <w:lang w:val="en-US" w:eastAsia="zh-CN" w:bidi="ar"/>
        </w:rPr>
        <w:t xml:space="preserve">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响应文件分资格性响应文件和其他响应文件两部分，应分册装订密封 </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第一部分 资格性响应文件（格式）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一、供应商的资格证明文件</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附件 1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法定代表人/单位负责人授权书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致：</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（供应商全称）法定代表人/单位负责人 授权 （响应代表姓名）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为响应代表，代表本单位参加贵院组织的 项目（谈判编号 ） </w:t>
      </w:r>
    </w:p>
    <w:p>
      <w:pPr>
        <w:keepNext w:val="0"/>
        <w:keepLines w:val="0"/>
        <w:widowControl/>
        <w:suppressLineNumbers w:val="0"/>
        <w:jc w:val="left"/>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 xml:space="preserve">谈判活动，全权代表本单位处理响应过程的一切事宜，包括但不限于：响应、谈判、签约等。响应代表在响应过程中所签署的一切文件和处理与之有关的一切事 务，本单位均予以认可并对此承担责任。响应代表无转委托权。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特此授权！本授权书自出具之日起生效。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 性别： 证件号：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响应代表： 性别： 证件号：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单位： 部门： 职务：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详细通讯地址： 邮政编码: 电话：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 附：法定代表人/单位负责人和被授权人(响应代表)有效身份证明文件复印 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法定代表人/单位负责人身份证明文件 粘贴处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被授权人(响应代表)身份证明文件粘 贴处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供应商（全称并盖章）：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法定代表人/单位负责人（签字或加盖个人名章）：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日 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注：</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1、身份证明文件包括居民身份证、户口本、军官证、外籍人员的护照等。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2、身份证明文件应同时提供其在有效期的材料，如居民身份证反面复印件。</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附件 2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法人营业执照、税务登记证、组织机构代码证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致：</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现附上由 （签发机关名称）签发的我方法人营业执照副本复印件，该执照真实有效。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现附上由 （签发机关名称）签发的我方税务登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记证副本复印件，该证件真实有效。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现附上由 （签发机关名称）签发的我方组织代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码证复印件，该证件真实有效。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供应商（全称并盖章）：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法定代表人/单位负责人或授权代表（签字或加盖个人名章）：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日 期：</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附件 3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供应商符合《政府采购法》第二十二条规定条件的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响 应 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致 ：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本单位 （供应商名称）参加 （项 目名称）的谈判活动，现承诺：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我单位满足政府采购法第二十二条关于供应商的资格要求：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（一）具有独立承担民事责任的能力；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（二）具有良好的商业信誉和健全的财务会计制度；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（三）具有履行合同所必需的设备和专业技术能力；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（四）有依法缴纳税收和社会保障资金的良好记录；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（五）具有良好的诚信行为；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（六）参加政府采购活动前三年内，在经营活动中没有重大违法记录，遵守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《中华人民共和国政府采购法》及其他相关的法律和法规；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同时也满足本项目法律法规规章规定关于供应商的其他资格性条件，未参 与本采购项目前期咨询论证，不属于禁止参加谈判的供应商。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如违反以上承诺，本单位愿承担一切法律责任。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供应商（全称并盖章）：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法定代表人/单位负责人或授权代表（签字或加盖个人名章）：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日 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注：</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1.本承诺函可自行提供具有有效签字或盖章的格式。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2.重大违法记录中的较大数额罚款的具体金额标准是：若采购项目所属行业行政 主管部门对较大数额罚款金额标准有明文规定的，以所属行业行政主管部门规定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的较大数额罚款金额标准；若采购项目所属行业行政主管部门对较大数额罚款金 额标准未明文规定的，以四川省人民政府规定的行政处罚罚款听证标准金额。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3.供应商在参加政府采购活动前，被纳入法院、工商行政管理部门、税务部门、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银行认定的失信名单且在有效期内，或者在前三年政府采购合同履约过程中及其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他经营活动履约过程中未依法履约被有关部门处罚（处理）的，不能认定为具有 良好的商业信誉。</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附件 4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供应商的承诺函（实质性要求）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致：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本单位 （供应商名称）参加 （项目名称）的谈判活动，现本单位做出如下承诺：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（一）单位负责人为同一人或者存在直接控股、管理关系的不同供应商，不得参加同一合同项下的政府采购活动。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（二）为采购项目提供整体设计、规范编制或者项目管理、监理、检测等服务的供应商，不得再参加该采购项目的其他采购活动。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（三）本单位在谈判截止日前被财政部门记入诚信档案的且在有效期内的失信行为的有 次。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（四）本单位在谈判截止日前被工商部门、税务部门、审判机关及其他有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关部门单位认定且处于有效期内的失信行为的有 次。 如违反以上承诺，本单位愿承担一切法律责任。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供应商名称： （盖章）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法定代表人/单位负责人或授权代表（签字或加盖个人名章）：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日期: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注：</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1.供应商的失信行为受到行政处罚或司法惩处的，评审时不再对其以价格加成进行惩戒。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2.此承诺函为参考格式，供应商可根据自身情况调整。 </w:t>
      </w:r>
    </w:p>
    <w:p>
      <w:pPr>
        <w:jc w:val="center"/>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3.填写失信行为的次数时，建议使用大写数字，如零、壹、贰、叁、</w:t>
      </w:r>
    </w:p>
    <w:p>
      <w:pPr>
        <w:jc w:val="both"/>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肆等。</w:t>
      </w:r>
    </w:p>
    <w:p>
      <w:pPr>
        <w:jc w:val="center"/>
        <w:rPr>
          <w:rFonts w:hint="eastAsia" w:ascii="宋体" w:hAnsi="宋体"/>
          <w:b w:val="0"/>
          <w:bCs w:val="0"/>
          <w:sz w:val="24"/>
          <w:szCs w:val="24"/>
        </w:rPr>
      </w:pPr>
    </w:p>
    <w:p>
      <w:pPr>
        <w:jc w:val="center"/>
        <w:rPr>
          <w:rFonts w:hint="eastAsia" w:ascii="宋体" w:hAnsi="宋体"/>
          <w:b w:val="0"/>
          <w:bCs w:val="0"/>
          <w:sz w:val="24"/>
          <w:szCs w:val="24"/>
        </w:rPr>
      </w:pPr>
    </w:p>
    <w:p>
      <w:pPr>
        <w:jc w:val="center"/>
        <w:rPr>
          <w:rFonts w:hint="eastAsia" w:ascii="宋体" w:hAnsi="宋体"/>
          <w:b w:val="0"/>
          <w:bCs w:val="0"/>
          <w:sz w:val="24"/>
          <w:szCs w:val="24"/>
        </w:rPr>
      </w:pPr>
    </w:p>
    <w:p>
      <w:pPr>
        <w:jc w:val="both"/>
        <w:rPr>
          <w:rFonts w:hint="eastAsia" w:ascii="宋体" w:hAnsi="宋体"/>
          <w:b/>
          <w:bCs/>
          <w:sz w:val="24"/>
          <w:szCs w:val="24"/>
        </w:rPr>
      </w:pPr>
      <w:r>
        <w:rPr>
          <w:rFonts w:hint="eastAsia" w:ascii="宋体" w:hAnsi="宋体"/>
          <w:b/>
          <w:bCs/>
          <w:sz w:val="24"/>
          <w:szCs w:val="24"/>
        </w:rPr>
        <w:t>附件</w:t>
      </w:r>
      <w:r>
        <w:rPr>
          <w:rFonts w:hint="eastAsia" w:ascii="宋体" w:hAnsi="宋体"/>
          <w:b/>
          <w:bCs/>
          <w:sz w:val="24"/>
          <w:szCs w:val="24"/>
          <w:lang w:val="en-US" w:eastAsia="zh-CN"/>
        </w:rPr>
        <w:t>5：</w:t>
      </w:r>
      <w:r>
        <w:rPr>
          <w:rFonts w:hint="eastAsia" w:ascii="宋体" w:hAnsi="宋体"/>
          <w:b/>
          <w:bCs/>
          <w:sz w:val="24"/>
          <w:szCs w:val="24"/>
        </w:rPr>
        <w:t>报价书</w:t>
      </w:r>
    </w:p>
    <w:p>
      <w:pPr>
        <w:tabs>
          <w:tab w:val="left" w:pos="6300"/>
        </w:tabs>
        <w:snapToGrid w:val="0"/>
        <w:spacing w:line="460" w:lineRule="exact"/>
        <w:rPr>
          <w:rFonts w:hint="eastAsia" w:ascii="新宋体" w:hAnsi="新宋体" w:eastAsia="新宋体" w:cs="新宋体"/>
          <w:b w:val="0"/>
          <w:bCs w:val="0"/>
          <w:kern w:val="0"/>
          <w:sz w:val="24"/>
          <w:szCs w:val="24"/>
        </w:rPr>
      </w:pPr>
      <w:r>
        <w:rPr>
          <w:rFonts w:hint="eastAsia" w:ascii="新宋体" w:hAnsi="新宋体" w:eastAsia="新宋体" w:cs="新宋体"/>
          <w:b w:val="0"/>
          <w:bCs w:val="0"/>
          <w:kern w:val="0"/>
          <w:sz w:val="24"/>
          <w:szCs w:val="24"/>
        </w:rPr>
        <w:t>致：</w:t>
      </w:r>
    </w:p>
    <w:p>
      <w:pPr>
        <w:tabs>
          <w:tab w:val="left" w:pos="6300"/>
        </w:tabs>
        <w:snapToGrid w:val="0"/>
        <w:spacing w:line="460" w:lineRule="exact"/>
        <w:ind w:firstLine="480" w:firstLineChars="200"/>
        <w:rPr>
          <w:rFonts w:hint="eastAsia" w:ascii="新宋体" w:hAnsi="新宋体" w:eastAsia="新宋体" w:cs="新宋体"/>
          <w:b w:val="0"/>
          <w:bCs w:val="0"/>
          <w:kern w:val="0"/>
          <w:sz w:val="24"/>
          <w:szCs w:val="24"/>
        </w:rPr>
      </w:pPr>
      <w:r>
        <w:rPr>
          <w:rFonts w:hint="eastAsia" w:ascii="新宋体" w:hAnsi="新宋体" w:eastAsia="新宋体" w:cs="新宋体"/>
          <w:b w:val="0"/>
          <w:bCs w:val="0"/>
          <w:kern w:val="0"/>
          <w:sz w:val="24"/>
          <w:szCs w:val="24"/>
        </w:rPr>
        <w:t>我方完全愿意参加</w:t>
      </w:r>
      <w:r>
        <w:rPr>
          <w:rFonts w:hint="eastAsia" w:ascii="新宋体" w:hAnsi="新宋体" w:eastAsia="新宋体" w:cs="新宋体"/>
          <w:b w:val="0"/>
          <w:bCs w:val="0"/>
          <w:kern w:val="0"/>
          <w:sz w:val="24"/>
          <w:szCs w:val="24"/>
          <w:u w:val="single"/>
        </w:rPr>
        <w:t xml:space="preserve">   （项目名称、编号）   </w:t>
      </w:r>
      <w:r>
        <w:rPr>
          <w:rFonts w:hint="eastAsia" w:ascii="新宋体" w:hAnsi="新宋体" w:eastAsia="新宋体" w:cs="新宋体"/>
          <w:b w:val="0"/>
          <w:bCs w:val="0"/>
          <w:kern w:val="0"/>
          <w:sz w:val="24"/>
          <w:szCs w:val="24"/>
        </w:rPr>
        <w:t>的投标报价，承诺以下全部实质性响应招标所有要求。报价及承诺如下：</w:t>
      </w:r>
    </w:p>
    <w:p>
      <w:pPr>
        <w:tabs>
          <w:tab w:val="left" w:pos="6300"/>
        </w:tabs>
        <w:snapToGrid w:val="0"/>
        <w:spacing w:line="460" w:lineRule="exact"/>
        <w:ind w:left="630"/>
        <w:rPr>
          <w:rFonts w:hint="eastAsia" w:ascii="新宋体" w:hAnsi="新宋体" w:eastAsia="新宋体" w:cs="新宋体"/>
          <w:b w:val="0"/>
          <w:bCs w:val="0"/>
          <w:sz w:val="24"/>
          <w:szCs w:val="24"/>
        </w:rPr>
      </w:pPr>
      <w:r>
        <w:rPr>
          <w:rFonts w:hint="eastAsia" w:ascii="新宋体" w:hAnsi="新宋体" w:eastAsia="新宋体" w:cs="新宋体"/>
          <w:b w:val="0"/>
          <w:bCs w:val="0"/>
          <w:kern w:val="0"/>
          <w:sz w:val="24"/>
          <w:szCs w:val="24"/>
        </w:rPr>
        <w:t>一、报价一览表</w:t>
      </w:r>
    </w:p>
    <w:tbl>
      <w:tblPr>
        <w:tblStyle w:val="7"/>
        <w:tblW w:w="10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97"/>
        <w:gridCol w:w="1995"/>
        <w:gridCol w:w="933"/>
        <w:gridCol w:w="978"/>
        <w:gridCol w:w="1247"/>
        <w:gridCol w:w="2043"/>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720"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序号</w:t>
            </w:r>
          </w:p>
        </w:tc>
        <w:tc>
          <w:tcPr>
            <w:tcW w:w="1197"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采购项目名称</w:t>
            </w:r>
          </w:p>
        </w:tc>
        <w:tc>
          <w:tcPr>
            <w:tcW w:w="1995"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投标产品品牌、规格型号</w:t>
            </w:r>
          </w:p>
        </w:tc>
        <w:tc>
          <w:tcPr>
            <w:tcW w:w="933"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单位</w:t>
            </w:r>
          </w:p>
        </w:tc>
        <w:tc>
          <w:tcPr>
            <w:tcW w:w="978"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数量</w:t>
            </w:r>
          </w:p>
        </w:tc>
        <w:tc>
          <w:tcPr>
            <w:tcW w:w="1247"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投标单价</w:t>
            </w:r>
          </w:p>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（元）</w:t>
            </w:r>
          </w:p>
        </w:tc>
        <w:tc>
          <w:tcPr>
            <w:tcW w:w="2043"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投标总价</w:t>
            </w:r>
          </w:p>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（元）</w:t>
            </w:r>
          </w:p>
        </w:tc>
        <w:tc>
          <w:tcPr>
            <w:tcW w:w="930" w:type="dxa"/>
            <w:vAlign w:val="center"/>
          </w:tcPr>
          <w:p>
            <w:pPr>
              <w:spacing w:line="400" w:lineRule="exact"/>
              <w:jc w:val="center"/>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b w:val="0"/>
                <w:bCs w:val="0"/>
                <w:sz w:val="24"/>
                <w:szCs w:val="24"/>
              </w:rPr>
            </w:pPr>
          </w:p>
        </w:tc>
        <w:tc>
          <w:tcPr>
            <w:tcW w:w="1197" w:type="dxa"/>
            <w:vAlign w:val="center"/>
          </w:tcPr>
          <w:p>
            <w:pPr>
              <w:spacing w:line="400" w:lineRule="exact"/>
              <w:jc w:val="center"/>
              <w:rPr>
                <w:rFonts w:hint="eastAsia" w:ascii="新宋体" w:hAnsi="新宋体" w:eastAsia="新宋体" w:cs="新宋体"/>
                <w:b w:val="0"/>
                <w:bCs w:val="0"/>
                <w:sz w:val="24"/>
                <w:szCs w:val="24"/>
              </w:rPr>
            </w:pPr>
          </w:p>
        </w:tc>
        <w:tc>
          <w:tcPr>
            <w:tcW w:w="1995" w:type="dxa"/>
            <w:vAlign w:val="center"/>
          </w:tcPr>
          <w:p>
            <w:pPr>
              <w:spacing w:line="400" w:lineRule="exact"/>
              <w:jc w:val="center"/>
              <w:rPr>
                <w:rFonts w:hint="eastAsia" w:ascii="新宋体" w:hAnsi="新宋体" w:eastAsia="新宋体" w:cs="新宋体"/>
                <w:b w:val="0"/>
                <w:bCs w:val="0"/>
                <w:sz w:val="24"/>
                <w:szCs w:val="24"/>
              </w:rPr>
            </w:pPr>
          </w:p>
        </w:tc>
        <w:tc>
          <w:tcPr>
            <w:tcW w:w="933" w:type="dxa"/>
            <w:vAlign w:val="center"/>
          </w:tcPr>
          <w:p>
            <w:pPr>
              <w:spacing w:line="400" w:lineRule="exact"/>
              <w:jc w:val="center"/>
              <w:rPr>
                <w:rFonts w:hint="eastAsia" w:ascii="新宋体" w:hAnsi="新宋体" w:eastAsia="新宋体" w:cs="新宋体"/>
                <w:b w:val="0"/>
                <w:bCs w:val="0"/>
                <w:sz w:val="24"/>
                <w:szCs w:val="24"/>
              </w:rPr>
            </w:pPr>
          </w:p>
        </w:tc>
        <w:tc>
          <w:tcPr>
            <w:tcW w:w="978" w:type="dxa"/>
            <w:vAlign w:val="center"/>
          </w:tcPr>
          <w:p>
            <w:pPr>
              <w:spacing w:line="400" w:lineRule="exact"/>
              <w:jc w:val="center"/>
              <w:rPr>
                <w:rFonts w:hint="eastAsia" w:ascii="新宋体" w:hAnsi="新宋体" w:eastAsia="新宋体" w:cs="新宋体"/>
                <w:b w:val="0"/>
                <w:bCs w:val="0"/>
                <w:sz w:val="24"/>
                <w:szCs w:val="24"/>
              </w:rPr>
            </w:pPr>
          </w:p>
        </w:tc>
        <w:tc>
          <w:tcPr>
            <w:tcW w:w="1247" w:type="dxa"/>
            <w:vAlign w:val="center"/>
          </w:tcPr>
          <w:p>
            <w:pPr>
              <w:spacing w:line="400" w:lineRule="exact"/>
              <w:jc w:val="center"/>
              <w:rPr>
                <w:rFonts w:hint="eastAsia" w:ascii="新宋体" w:hAnsi="新宋体" w:eastAsia="新宋体" w:cs="新宋体"/>
                <w:b w:val="0"/>
                <w:bCs w:val="0"/>
                <w:sz w:val="24"/>
                <w:szCs w:val="24"/>
              </w:rPr>
            </w:pPr>
          </w:p>
        </w:tc>
        <w:tc>
          <w:tcPr>
            <w:tcW w:w="2043" w:type="dxa"/>
            <w:vAlign w:val="center"/>
          </w:tcPr>
          <w:p>
            <w:pPr>
              <w:spacing w:line="400" w:lineRule="exact"/>
              <w:jc w:val="center"/>
              <w:rPr>
                <w:rFonts w:hint="eastAsia" w:ascii="新宋体" w:hAnsi="新宋体" w:eastAsia="新宋体" w:cs="新宋体"/>
                <w:b w:val="0"/>
                <w:bCs w:val="0"/>
                <w:sz w:val="24"/>
                <w:szCs w:val="24"/>
              </w:rPr>
            </w:pPr>
          </w:p>
        </w:tc>
        <w:tc>
          <w:tcPr>
            <w:tcW w:w="930" w:type="dxa"/>
            <w:vAlign w:val="center"/>
          </w:tcPr>
          <w:p>
            <w:pPr>
              <w:spacing w:line="400" w:lineRule="exact"/>
              <w:jc w:val="center"/>
              <w:rPr>
                <w:rFonts w:hint="eastAsia" w:ascii="新宋体" w:hAnsi="新宋体" w:eastAsia="新宋体" w:cs="新宋体"/>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b w:val="0"/>
                <w:bCs w:val="0"/>
                <w:sz w:val="24"/>
                <w:szCs w:val="24"/>
              </w:rPr>
            </w:pPr>
          </w:p>
        </w:tc>
        <w:tc>
          <w:tcPr>
            <w:tcW w:w="1197" w:type="dxa"/>
            <w:vAlign w:val="center"/>
          </w:tcPr>
          <w:p>
            <w:pPr>
              <w:spacing w:line="400" w:lineRule="exact"/>
              <w:jc w:val="center"/>
              <w:rPr>
                <w:rFonts w:hint="eastAsia" w:ascii="新宋体" w:hAnsi="新宋体" w:eastAsia="新宋体" w:cs="新宋体"/>
                <w:b w:val="0"/>
                <w:bCs w:val="0"/>
                <w:sz w:val="24"/>
                <w:szCs w:val="24"/>
              </w:rPr>
            </w:pPr>
          </w:p>
        </w:tc>
        <w:tc>
          <w:tcPr>
            <w:tcW w:w="1995" w:type="dxa"/>
            <w:vAlign w:val="center"/>
          </w:tcPr>
          <w:p>
            <w:pPr>
              <w:spacing w:line="400" w:lineRule="exact"/>
              <w:jc w:val="center"/>
              <w:rPr>
                <w:rFonts w:hint="eastAsia" w:ascii="新宋体" w:hAnsi="新宋体" w:eastAsia="新宋体" w:cs="新宋体"/>
                <w:b w:val="0"/>
                <w:bCs w:val="0"/>
                <w:sz w:val="24"/>
                <w:szCs w:val="24"/>
              </w:rPr>
            </w:pPr>
          </w:p>
        </w:tc>
        <w:tc>
          <w:tcPr>
            <w:tcW w:w="933" w:type="dxa"/>
            <w:vAlign w:val="center"/>
          </w:tcPr>
          <w:p>
            <w:pPr>
              <w:spacing w:line="400" w:lineRule="exact"/>
              <w:jc w:val="center"/>
              <w:rPr>
                <w:rFonts w:hint="eastAsia" w:ascii="新宋体" w:hAnsi="新宋体" w:eastAsia="新宋体" w:cs="新宋体"/>
                <w:b w:val="0"/>
                <w:bCs w:val="0"/>
                <w:sz w:val="24"/>
                <w:szCs w:val="24"/>
              </w:rPr>
            </w:pPr>
          </w:p>
        </w:tc>
        <w:tc>
          <w:tcPr>
            <w:tcW w:w="978" w:type="dxa"/>
            <w:vAlign w:val="center"/>
          </w:tcPr>
          <w:p>
            <w:pPr>
              <w:spacing w:line="400" w:lineRule="exact"/>
              <w:jc w:val="center"/>
              <w:rPr>
                <w:rFonts w:hint="eastAsia" w:ascii="新宋体" w:hAnsi="新宋体" w:eastAsia="新宋体" w:cs="新宋体"/>
                <w:b w:val="0"/>
                <w:bCs w:val="0"/>
                <w:sz w:val="24"/>
                <w:szCs w:val="24"/>
              </w:rPr>
            </w:pPr>
          </w:p>
        </w:tc>
        <w:tc>
          <w:tcPr>
            <w:tcW w:w="1247" w:type="dxa"/>
            <w:vAlign w:val="center"/>
          </w:tcPr>
          <w:p>
            <w:pPr>
              <w:spacing w:line="400" w:lineRule="exact"/>
              <w:jc w:val="center"/>
              <w:rPr>
                <w:rFonts w:hint="eastAsia" w:ascii="新宋体" w:hAnsi="新宋体" w:eastAsia="新宋体" w:cs="新宋体"/>
                <w:b w:val="0"/>
                <w:bCs w:val="0"/>
                <w:sz w:val="24"/>
                <w:szCs w:val="24"/>
              </w:rPr>
            </w:pPr>
          </w:p>
        </w:tc>
        <w:tc>
          <w:tcPr>
            <w:tcW w:w="2043" w:type="dxa"/>
            <w:vAlign w:val="center"/>
          </w:tcPr>
          <w:p>
            <w:pPr>
              <w:spacing w:line="400" w:lineRule="exact"/>
              <w:jc w:val="center"/>
              <w:rPr>
                <w:rFonts w:hint="eastAsia" w:ascii="新宋体" w:hAnsi="新宋体" w:eastAsia="新宋体" w:cs="新宋体"/>
                <w:b w:val="0"/>
                <w:bCs w:val="0"/>
                <w:sz w:val="24"/>
                <w:szCs w:val="24"/>
              </w:rPr>
            </w:pPr>
          </w:p>
        </w:tc>
        <w:tc>
          <w:tcPr>
            <w:tcW w:w="930" w:type="dxa"/>
            <w:vAlign w:val="center"/>
          </w:tcPr>
          <w:p>
            <w:pPr>
              <w:spacing w:line="400" w:lineRule="exact"/>
              <w:jc w:val="center"/>
              <w:rPr>
                <w:rFonts w:hint="eastAsia" w:ascii="新宋体" w:hAnsi="新宋体" w:eastAsia="新宋体" w:cs="新宋体"/>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报价合计：大写：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履约时间：</w:t>
            </w:r>
          </w:p>
        </w:tc>
      </w:tr>
    </w:tbl>
    <w:p>
      <w:pPr>
        <w:spacing w:line="400" w:lineRule="exact"/>
        <w:ind w:left="984" w:hanging="840" w:hangingChars="350"/>
        <w:jc w:val="left"/>
        <w:rPr>
          <w:rFonts w:hint="eastAsia" w:ascii="新宋体" w:hAnsi="新宋体" w:eastAsia="新宋体" w:cs="新宋体"/>
          <w:b w:val="0"/>
          <w:bCs w:val="0"/>
          <w:color w:val="000000"/>
          <w:sz w:val="24"/>
          <w:szCs w:val="24"/>
        </w:rPr>
      </w:pPr>
      <w:r>
        <w:rPr>
          <w:rFonts w:hint="eastAsia" w:ascii="新宋体" w:hAnsi="新宋体" w:eastAsia="新宋体" w:cs="新宋体"/>
          <w:b w:val="0"/>
          <w:bCs w:val="0"/>
          <w:sz w:val="24"/>
          <w:szCs w:val="24"/>
        </w:rPr>
        <w:t>注：1、</w:t>
      </w:r>
      <w:r>
        <w:rPr>
          <w:rFonts w:hint="eastAsia" w:ascii="新宋体" w:hAnsi="新宋体" w:eastAsia="新宋体" w:cs="新宋体"/>
          <w:b w:val="0"/>
          <w:bCs w:val="0"/>
          <w:color w:val="000000"/>
          <w:sz w:val="24"/>
          <w:szCs w:val="24"/>
        </w:rPr>
        <w:t xml:space="preserve">报价应是最终用户验收合格后的总价，包括货物、人工费、运输费及上下车、安装调试、保险、培训、税费等和招标文件规定的其它费用。 </w:t>
      </w:r>
    </w:p>
    <w:p>
      <w:pPr>
        <w:numPr>
          <w:ilvl w:val="0"/>
          <w:numId w:val="3"/>
        </w:numPr>
        <w:spacing w:line="520" w:lineRule="exact"/>
        <w:ind w:firstLine="636" w:firstLineChars="265"/>
        <w:rPr>
          <w:rFonts w:hint="eastAsia" w:ascii="宋体" w:hAnsi="宋体" w:cs="宋体"/>
          <w:b w:val="0"/>
          <w:bCs w:val="0"/>
          <w:sz w:val="24"/>
          <w:szCs w:val="24"/>
        </w:rPr>
      </w:pPr>
      <w:r>
        <w:rPr>
          <w:rFonts w:hint="eastAsia" w:ascii="宋体" w:hAnsi="宋体" w:cs="宋体"/>
          <w:b w:val="0"/>
          <w:bCs w:val="0"/>
          <w:sz w:val="24"/>
          <w:szCs w:val="24"/>
        </w:rPr>
        <w:t>以上表格内容必须采用机打，禁止手填，否则作为无效投标处理。</w:t>
      </w:r>
    </w:p>
    <w:p>
      <w:pPr>
        <w:numPr>
          <w:ilvl w:val="0"/>
          <w:numId w:val="3"/>
        </w:numPr>
        <w:spacing w:line="520" w:lineRule="exact"/>
        <w:ind w:firstLine="636" w:firstLineChars="265"/>
        <w:rPr>
          <w:rFonts w:hint="eastAsia" w:ascii="宋体" w:hAnsi="宋体" w:cs="宋体"/>
          <w:b w:val="0"/>
          <w:bCs w:val="0"/>
          <w:sz w:val="24"/>
          <w:szCs w:val="24"/>
        </w:rPr>
      </w:pPr>
      <w:r>
        <w:rPr>
          <w:rFonts w:hint="eastAsia" w:ascii="宋体" w:hAnsi="宋体" w:cs="宋体"/>
          <w:b w:val="0"/>
          <w:bCs w:val="0"/>
          <w:sz w:val="24"/>
          <w:szCs w:val="24"/>
        </w:rPr>
        <w:t>报价表应单独封装。</w:t>
      </w:r>
    </w:p>
    <w:p>
      <w:pPr>
        <w:spacing w:line="460" w:lineRule="exact"/>
        <w:ind w:firstLine="530" w:firstLineChars="221"/>
        <w:rPr>
          <w:rFonts w:hint="eastAsia" w:ascii="宋体" w:hAnsi="宋体"/>
          <w:b w:val="0"/>
          <w:bCs w:val="0"/>
          <w:kern w:val="0"/>
          <w:sz w:val="24"/>
          <w:szCs w:val="24"/>
        </w:rPr>
      </w:pPr>
    </w:p>
    <w:p>
      <w:pPr>
        <w:spacing w:line="460" w:lineRule="exact"/>
        <w:ind w:firstLine="530" w:firstLineChars="221"/>
        <w:rPr>
          <w:rFonts w:hint="eastAsia" w:ascii="宋体" w:hAnsi="宋体"/>
          <w:b w:val="0"/>
          <w:bCs w:val="0"/>
          <w:kern w:val="0"/>
          <w:sz w:val="24"/>
          <w:szCs w:val="24"/>
        </w:rPr>
      </w:pPr>
      <w:r>
        <w:rPr>
          <w:rFonts w:hint="eastAsia" w:ascii="宋体" w:hAnsi="宋体"/>
          <w:b w:val="0"/>
          <w:bCs w:val="0"/>
          <w:kern w:val="0"/>
          <w:sz w:val="24"/>
          <w:szCs w:val="24"/>
        </w:rPr>
        <w:t>二、投标报价单位：（盖章）</w:t>
      </w:r>
    </w:p>
    <w:p>
      <w:pPr>
        <w:spacing w:line="460" w:lineRule="exact"/>
        <w:ind w:firstLine="530" w:firstLineChars="221"/>
        <w:rPr>
          <w:rFonts w:hint="eastAsia" w:ascii="宋体" w:hAnsi="宋体"/>
          <w:b w:val="0"/>
          <w:bCs w:val="0"/>
          <w:kern w:val="0"/>
          <w:sz w:val="24"/>
          <w:szCs w:val="24"/>
        </w:rPr>
      </w:pPr>
    </w:p>
    <w:p>
      <w:pPr>
        <w:spacing w:line="460" w:lineRule="exact"/>
        <w:ind w:firstLine="530" w:firstLineChars="221"/>
        <w:rPr>
          <w:rFonts w:hint="eastAsia" w:ascii="仿宋_GB2312" w:hAnsi="宋体" w:eastAsia="仿宋_GB2312"/>
          <w:b w:val="0"/>
          <w:bCs w:val="0"/>
          <w:kern w:val="0"/>
          <w:sz w:val="24"/>
          <w:szCs w:val="24"/>
        </w:rPr>
      </w:pPr>
      <w:r>
        <w:rPr>
          <w:rFonts w:hint="eastAsia" w:ascii="宋体" w:hAnsi="宋体"/>
          <w:b w:val="0"/>
          <w:bCs w:val="0"/>
          <w:kern w:val="0"/>
          <w:sz w:val="24"/>
          <w:szCs w:val="24"/>
        </w:rPr>
        <w:t xml:space="preserve">法人代表或法人授权代表人（签字）： </w:t>
      </w:r>
      <w:r>
        <w:rPr>
          <w:rFonts w:hint="eastAsia" w:ascii="仿宋_GB2312" w:hAnsi="宋体" w:eastAsia="仿宋_GB2312"/>
          <w:b w:val="0"/>
          <w:bCs w:val="0"/>
          <w:kern w:val="0"/>
          <w:sz w:val="24"/>
          <w:szCs w:val="24"/>
        </w:rPr>
        <w:t xml:space="preserve">  </w:t>
      </w:r>
    </w:p>
    <w:p>
      <w:pPr>
        <w:rPr>
          <w:rFonts w:hint="eastAsia"/>
          <w:b w:val="0"/>
          <w:bCs w:val="0"/>
          <w:sz w:val="24"/>
          <w:szCs w:val="24"/>
        </w:rPr>
      </w:pPr>
      <w:r>
        <w:rPr>
          <w:rFonts w:hint="eastAsia"/>
          <w:b w:val="0"/>
          <w:bCs w:val="0"/>
          <w:kern w:val="0"/>
          <w:sz w:val="24"/>
          <w:szCs w:val="24"/>
        </w:rPr>
        <w:t xml:space="preserve">        </w:t>
      </w:r>
      <w:r>
        <w:rPr>
          <w:rFonts w:hint="eastAsia"/>
          <w:b w:val="0"/>
          <w:bCs w:val="0"/>
          <w:sz w:val="24"/>
          <w:szCs w:val="24"/>
        </w:rPr>
        <w:t xml:space="preserve">  </w:t>
      </w:r>
    </w:p>
    <w:p>
      <w:pPr>
        <w:spacing w:line="460" w:lineRule="exact"/>
        <w:ind w:firstLine="530" w:firstLineChars="221"/>
        <w:rPr>
          <w:rFonts w:hint="eastAsia" w:ascii="仿宋_GB2312" w:hAnsi="宋体" w:eastAsia="仿宋_GB2312"/>
          <w:b w:val="0"/>
          <w:bCs w:val="0"/>
          <w:kern w:val="0"/>
          <w:sz w:val="24"/>
          <w:szCs w:val="24"/>
        </w:rPr>
      </w:pPr>
      <w:r>
        <w:rPr>
          <w:rFonts w:hint="eastAsia" w:ascii="仿宋_GB2312" w:hAnsi="宋体" w:eastAsia="仿宋_GB2312"/>
          <w:b w:val="0"/>
          <w:bCs w:val="0"/>
          <w:kern w:val="0"/>
          <w:sz w:val="24"/>
          <w:szCs w:val="24"/>
        </w:rPr>
        <w:t xml:space="preserve">                   </w:t>
      </w:r>
    </w:p>
    <w:p>
      <w:pPr>
        <w:spacing w:line="460" w:lineRule="exact"/>
        <w:ind w:firstLine="3768" w:firstLineChars="1570"/>
        <w:rPr>
          <w:rFonts w:hint="eastAsia" w:ascii="仿宋_GB2312" w:hAnsi="宋体" w:eastAsia="仿宋_GB2312"/>
          <w:b w:val="0"/>
          <w:bCs w:val="0"/>
          <w:kern w:val="0"/>
          <w:sz w:val="24"/>
          <w:szCs w:val="24"/>
        </w:rPr>
      </w:pPr>
      <w:r>
        <w:rPr>
          <w:rFonts w:hint="eastAsia" w:ascii="仿宋_GB2312" w:hAnsi="宋体" w:eastAsia="仿宋_GB2312"/>
          <w:b w:val="0"/>
          <w:bCs w:val="0"/>
          <w:kern w:val="0"/>
          <w:sz w:val="24"/>
          <w:szCs w:val="24"/>
        </w:rPr>
        <w:t>年    月    日</w:t>
      </w:r>
    </w:p>
    <w:p>
      <w:pPr>
        <w:keepNext w:val="0"/>
        <w:keepLines w:val="0"/>
        <w:widowControl/>
        <w:suppressLineNumbers w:val="0"/>
        <w:jc w:val="left"/>
        <w:rPr>
          <w:rFonts w:hint="eastAsia" w:ascii="仿宋" w:hAnsi="仿宋" w:eastAsia="仿宋" w:cs="仿宋"/>
          <w:color w:val="000000"/>
          <w:kern w:val="0"/>
          <w:sz w:val="28"/>
          <w:szCs w:val="28"/>
          <w:lang w:val="en-US" w:eastAsia="zh-CN" w:bidi="ar"/>
        </w:rPr>
      </w:pP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附件 6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谈判文件要求提供的其他证明文件。 </w:t>
      </w:r>
    </w:p>
    <w:p>
      <w:pPr>
        <w:keepNext w:val="0"/>
        <w:keepLines w:val="0"/>
        <w:widowControl/>
        <w:suppressLineNumbers w:val="0"/>
        <w:jc w:val="left"/>
        <w:rPr>
          <w:rFonts w:hint="eastAsia" w:ascii="仿宋" w:hAnsi="仿宋" w:eastAsia="仿宋" w:cs="仿宋"/>
          <w:b/>
          <w:color w:val="000000"/>
          <w:kern w:val="0"/>
          <w:sz w:val="28"/>
          <w:szCs w:val="28"/>
          <w:lang w:val="en-US" w:eastAsia="zh-CN" w:bidi="ar"/>
        </w:rPr>
      </w:pP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第二部分 其他响应文件（格式）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一、投 标 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致：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根据贵方 项目，编号为 的谈判邀请，正式授权的下述签字人 (姓名和职务)代表供应商 (供应商的名称)，提交响应文件正本1份，副本 份。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据此函，签字人兹宣布同意如下：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 我们根据谈判文件的规定，承担完成合同的责任和义务。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 我们已详细审核全部谈判文件，包括谈判文件修改书(如果有的话)，参考资料及有关附件，我们完全理解并放弃提出含糊不清或误解的问题的权利。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 本报价有效期为自谈判之日起90个日历日。报价有效期满之前均具有约束力。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(4) 同意按谈判须知中关于不予退还谈判保证金的规定。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(5) 同意向贵方提供贵方可能要求的与本报价有关任何证据或资料。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(6) 我们完全理解贵方不一定要接受最低报价的报价或收到的任何报价。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与本报价有关的正式通讯地址为：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供应商名称：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地址：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电话：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传真：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邮政编码：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法定代表人/单位负责人或授权代表（签字或加盖个人名章）：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公章：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日期： 年 月 日</w:t>
      </w:r>
    </w:p>
    <w:p>
      <w:pPr>
        <w:pStyle w:val="2"/>
        <w:numPr>
          <w:ilvl w:val="0"/>
          <w:numId w:val="0"/>
        </w:numPr>
        <w:spacing w:line="360" w:lineRule="auto"/>
        <w:ind w:leftChars="0"/>
        <w:jc w:val="both"/>
        <w:rPr>
          <w:rFonts w:hint="eastAsia" w:ascii="仿宋" w:hAnsi="仿宋" w:eastAsia="仿宋" w:cs="仿宋"/>
          <w:b/>
          <w:color w:val="000000"/>
          <w:kern w:val="0"/>
          <w:sz w:val="24"/>
          <w:szCs w:val="24"/>
          <w:lang w:val="en-US" w:eastAsia="zh-CN" w:bidi="ar"/>
        </w:rPr>
      </w:pPr>
    </w:p>
    <w:p>
      <w:pPr>
        <w:pStyle w:val="2"/>
        <w:numPr>
          <w:ilvl w:val="0"/>
          <w:numId w:val="0"/>
        </w:numPr>
        <w:spacing w:line="360" w:lineRule="auto"/>
        <w:ind w:leftChars="0"/>
        <w:jc w:val="both"/>
        <w:rPr>
          <w:rFonts w:hint="eastAsia" w:ascii="仿宋" w:hAnsi="仿宋" w:eastAsia="仿宋" w:cs="仿宋"/>
          <w:b/>
          <w:color w:val="000000"/>
          <w:kern w:val="0"/>
          <w:sz w:val="24"/>
          <w:szCs w:val="24"/>
          <w:lang w:val="en-US" w:eastAsia="zh-CN" w:bidi="ar"/>
        </w:rPr>
      </w:pPr>
      <w:r>
        <w:rPr>
          <w:rFonts w:hint="eastAsia" w:ascii="仿宋" w:hAnsi="仿宋" w:eastAsia="仿宋" w:cs="仿宋"/>
          <w:b/>
          <w:color w:val="000000"/>
          <w:kern w:val="0"/>
          <w:sz w:val="24"/>
          <w:szCs w:val="24"/>
          <w:lang w:val="en-US" w:eastAsia="zh-CN" w:bidi="ar"/>
        </w:rPr>
        <w:t>二、技术响应/偏离表</w:t>
      </w:r>
    </w:p>
    <w:p>
      <w:pPr>
        <w:pStyle w:val="2"/>
        <w:numPr>
          <w:ilvl w:val="0"/>
          <w:numId w:val="0"/>
        </w:numPr>
        <w:spacing w:line="360" w:lineRule="auto"/>
        <w:ind w:leftChars="0"/>
        <w:jc w:val="both"/>
        <w:rPr>
          <w:rFonts w:hint="eastAsia" w:ascii="宋体" w:hAnsi="宋体" w:eastAsia="宋体"/>
          <w:bCs w:val="0"/>
          <w:kern w:val="0"/>
          <w:sz w:val="24"/>
          <w:szCs w:val="24"/>
        </w:rPr>
      </w:pPr>
      <w:r>
        <w:rPr>
          <w:rFonts w:hint="eastAsia" w:ascii="仿宋" w:hAnsi="仿宋" w:eastAsia="仿宋" w:cs="仿宋"/>
          <w:b/>
          <w:color w:val="000000"/>
          <w:kern w:val="0"/>
          <w:sz w:val="24"/>
          <w:szCs w:val="24"/>
          <w:lang w:val="en-US" w:eastAsia="zh-CN" w:bidi="ar"/>
        </w:rPr>
        <w:t xml:space="preserve"> </w:t>
      </w:r>
      <w:r>
        <w:rPr>
          <w:rFonts w:hint="eastAsia" w:ascii="宋体" w:hAnsi="宋体" w:eastAsia="宋体"/>
          <w:bCs w:val="0"/>
          <w:kern w:val="0"/>
          <w:sz w:val="24"/>
          <w:szCs w:val="24"/>
        </w:rPr>
        <w:t>技术参数要求响应偏离表</w:t>
      </w:r>
    </w:p>
    <w:p>
      <w:pPr>
        <w:pStyle w:val="2"/>
        <w:numPr>
          <w:ilvl w:val="0"/>
          <w:numId w:val="0"/>
        </w:numPr>
        <w:spacing w:line="360" w:lineRule="auto"/>
        <w:ind w:leftChars="0"/>
        <w:jc w:val="both"/>
        <w:rPr>
          <w:rFonts w:hint="eastAsia" w:ascii="宋体" w:hAnsi="宋体"/>
          <w:b/>
          <w:color w:val="000000"/>
          <w:sz w:val="24"/>
        </w:rPr>
      </w:pPr>
      <w:r>
        <w:rPr>
          <w:rFonts w:hint="eastAsia" w:ascii="仿宋" w:hAnsi="仿宋" w:eastAsia="仿宋" w:cs="仿宋"/>
          <w:b/>
          <w:color w:val="000000"/>
          <w:kern w:val="0"/>
          <w:sz w:val="24"/>
          <w:szCs w:val="24"/>
          <w:lang w:val="en-US" w:eastAsia="zh-CN" w:bidi="ar"/>
        </w:rPr>
        <w:t>供应商名称： 谈判编号：</w:t>
      </w:r>
      <w:r>
        <w:rPr>
          <w:rFonts w:hint="eastAsia" w:ascii="仿宋" w:hAnsi="仿宋" w:eastAsia="仿宋" w:cs="仿宋"/>
          <w:b/>
          <w:color w:val="000000"/>
          <w:kern w:val="0"/>
          <w:sz w:val="28"/>
          <w:szCs w:val="28"/>
          <w:lang w:val="en-US" w:eastAsia="zh-CN" w:bidi="ar"/>
        </w:rPr>
        <w:t xml:space="preserve"> </w:t>
      </w:r>
    </w:p>
    <w:tbl>
      <w:tblPr>
        <w:tblStyle w:val="7"/>
        <w:tblpPr w:leftFromText="180" w:rightFromText="180" w:vertAnchor="text" w:horzAnchor="page" w:tblpX="1545" w:tblpY="749"/>
        <w:tblOverlap w:val="never"/>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417"/>
        <w:gridCol w:w="2078"/>
        <w:gridCol w:w="1560"/>
        <w:gridCol w:w="165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center"/>
          </w:tcPr>
          <w:p>
            <w:pPr>
              <w:pStyle w:val="8"/>
              <w:spacing w:line="360" w:lineRule="auto"/>
              <w:jc w:val="center"/>
              <w:rPr>
                <w:rFonts w:hint="eastAsia" w:ascii="宋体" w:hAnsi="宋体"/>
              </w:rPr>
            </w:pPr>
            <w:bookmarkStart w:id="8" w:name="_Toc268075909"/>
            <w:bookmarkStart w:id="9" w:name="_Toc217446090"/>
            <w:r>
              <w:rPr>
                <w:rFonts w:hint="eastAsia" w:ascii="宋体" w:hAnsi="宋体"/>
              </w:rPr>
              <w:t>序号</w:t>
            </w:r>
          </w:p>
        </w:tc>
        <w:tc>
          <w:tcPr>
            <w:tcW w:w="1417" w:type="dxa"/>
            <w:vAlign w:val="center"/>
          </w:tcPr>
          <w:p>
            <w:pPr>
              <w:pStyle w:val="8"/>
              <w:spacing w:line="360" w:lineRule="auto"/>
              <w:jc w:val="center"/>
              <w:rPr>
                <w:rFonts w:hint="eastAsia" w:ascii="宋体" w:hAnsi="宋体"/>
              </w:rPr>
            </w:pPr>
            <w:r>
              <w:rPr>
                <w:rFonts w:hint="eastAsia" w:ascii="宋体" w:hAnsi="宋体"/>
              </w:rPr>
              <w:t>招标文件条目</w:t>
            </w:r>
          </w:p>
        </w:tc>
        <w:tc>
          <w:tcPr>
            <w:tcW w:w="2078" w:type="dxa"/>
            <w:vAlign w:val="center"/>
          </w:tcPr>
          <w:p>
            <w:pPr>
              <w:pStyle w:val="8"/>
              <w:spacing w:line="360" w:lineRule="auto"/>
              <w:jc w:val="center"/>
              <w:rPr>
                <w:rFonts w:hint="eastAsia" w:ascii="宋体" w:hAnsi="宋体"/>
              </w:rPr>
            </w:pPr>
            <w:r>
              <w:rPr>
                <w:rFonts w:hint="eastAsia" w:ascii="宋体" w:hAnsi="宋体"/>
              </w:rPr>
              <w:t>招标文件要求技术参数及指标</w:t>
            </w:r>
          </w:p>
        </w:tc>
        <w:tc>
          <w:tcPr>
            <w:tcW w:w="1560" w:type="dxa"/>
            <w:vAlign w:val="center"/>
          </w:tcPr>
          <w:p>
            <w:pPr>
              <w:pStyle w:val="8"/>
              <w:spacing w:line="360" w:lineRule="auto"/>
              <w:jc w:val="center"/>
              <w:rPr>
                <w:rFonts w:hint="eastAsia" w:ascii="宋体" w:hAnsi="宋体"/>
              </w:rPr>
            </w:pPr>
            <w:r>
              <w:rPr>
                <w:rFonts w:hint="eastAsia" w:ascii="宋体" w:hAnsi="宋体"/>
              </w:rPr>
              <w:t>投标响应</w:t>
            </w:r>
          </w:p>
        </w:tc>
        <w:tc>
          <w:tcPr>
            <w:tcW w:w="1650" w:type="dxa"/>
            <w:vAlign w:val="center"/>
          </w:tcPr>
          <w:p>
            <w:pPr>
              <w:pStyle w:val="8"/>
              <w:spacing w:line="360" w:lineRule="auto"/>
              <w:jc w:val="center"/>
              <w:rPr>
                <w:rFonts w:hint="eastAsia" w:ascii="宋体" w:hAnsi="宋体"/>
              </w:rPr>
            </w:pPr>
            <w:r>
              <w:rPr>
                <w:rFonts w:hint="eastAsia" w:ascii="宋体" w:hAnsi="宋体"/>
              </w:rPr>
              <w:t>正偏离、负偏离、无偏离</w:t>
            </w:r>
          </w:p>
        </w:tc>
        <w:tc>
          <w:tcPr>
            <w:tcW w:w="1650" w:type="dxa"/>
            <w:vAlign w:val="center"/>
          </w:tcPr>
          <w:p>
            <w:pPr>
              <w:pStyle w:val="8"/>
              <w:spacing w:line="360" w:lineRule="auto"/>
              <w:jc w:val="center"/>
              <w:rPr>
                <w:rFonts w:hint="eastAsia" w:ascii="宋体" w:hAnsi="宋体"/>
              </w:rPr>
            </w:pPr>
            <w:r>
              <w:rPr>
                <w:rFonts w:hint="eastAsia" w:ascii="宋体" w:hAnsi="宋体"/>
              </w:rPr>
              <w:t>偏离对货物性能的影响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8"/>
              <w:spacing w:line="360" w:lineRule="auto"/>
              <w:rPr>
                <w:rFonts w:hint="eastAsia" w:ascii="宋体" w:hAnsi="宋体"/>
              </w:rPr>
            </w:pPr>
          </w:p>
        </w:tc>
        <w:tc>
          <w:tcPr>
            <w:tcW w:w="1417" w:type="dxa"/>
            <w:vAlign w:val="top"/>
          </w:tcPr>
          <w:p>
            <w:pPr>
              <w:pStyle w:val="8"/>
              <w:spacing w:line="360" w:lineRule="auto"/>
              <w:rPr>
                <w:rFonts w:hint="eastAsia" w:ascii="宋体" w:hAnsi="宋体"/>
              </w:rPr>
            </w:pPr>
          </w:p>
        </w:tc>
        <w:tc>
          <w:tcPr>
            <w:tcW w:w="2078" w:type="dxa"/>
            <w:vAlign w:val="top"/>
          </w:tcPr>
          <w:p>
            <w:pPr>
              <w:pStyle w:val="8"/>
              <w:spacing w:line="360" w:lineRule="auto"/>
              <w:rPr>
                <w:rFonts w:hint="eastAsia" w:ascii="宋体" w:hAnsi="宋体"/>
              </w:rPr>
            </w:pPr>
          </w:p>
        </w:tc>
        <w:tc>
          <w:tcPr>
            <w:tcW w:w="156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8"/>
              <w:spacing w:line="360" w:lineRule="auto"/>
              <w:rPr>
                <w:rFonts w:hint="eastAsia" w:ascii="宋体" w:hAnsi="宋体"/>
              </w:rPr>
            </w:pPr>
          </w:p>
        </w:tc>
        <w:tc>
          <w:tcPr>
            <w:tcW w:w="1417" w:type="dxa"/>
            <w:vAlign w:val="top"/>
          </w:tcPr>
          <w:p>
            <w:pPr>
              <w:pStyle w:val="8"/>
              <w:spacing w:line="360" w:lineRule="auto"/>
              <w:rPr>
                <w:rFonts w:hint="eastAsia" w:ascii="宋体" w:hAnsi="宋体"/>
              </w:rPr>
            </w:pPr>
          </w:p>
        </w:tc>
        <w:tc>
          <w:tcPr>
            <w:tcW w:w="2078" w:type="dxa"/>
            <w:vAlign w:val="top"/>
          </w:tcPr>
          <w:p>
            <w:pPr>
              <w:pStyle w:val="8"/>
              <w:spacing w:line="360" w:lineRule="auto"/>
              <w:rPr>
                <w:rFonts w:hint="eastAsia" w:ascii="宋体" w:hAnsi="宋体"/>
              </w:rPr>
            </w:pPr>
          </w:p>
        </w:tc>
        <w:tc>
          <w:tcPr>
            <w:tcW w:w="156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8"/>
              <w:spacing w:line="360" w:lineRule="auto"/>
              <w:rPr>
                <w:rFonts w:hint="eastAsia" w:ascii="宋体" w:hAnsi="宋体"/>
              </w:rPr>
            </w:pPr>
          </w:p>
        </w:tc>
        <w:tc>
          <w:tcPr>
            <w:tcW w:w="1417" w:type="dxa"/>
            <w:vAlign w:val="top"/>
          </w:tcPr>
          <w:p>
            <w:pPr>
              <w:pStyle w:val="8"/>
              <w:spacing w:line="360" w:lineRule="auto"/>
              <w:rPr>
                <w:rFonts w:hint="eastAsia" w:ascii="宋体" w:hAnsi="宋体"/>
              </w:rPr>
            </w:pPr>
          </w:p>
        </w:tc>
        <w:tc>
          <w:tcPr>
            <w:tcW w:w="2078" w:type="dxa"/>
            <w:vAlign w:val="top"/>
          </w:tcPr>
          <w:p>
            <w:pPr>
              <w:pStyle w:val="8"/>
              <w:spacing w:line="360" w:lineRule="auto"/>
              <w:rPr>
                <w:rFonts w:hint="eastAsia" w:ascii="宋体" w:hAnsi="宋体"/>
              </w:rPr>
            </w:pPr>
          </w:p>
        </w:tc>
        <w:tc>
          <w:tcPr>
            <w:tcW w:w="156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8"/>
              <w:spacing w:line="360" w:lineRule="auto"/>
              <w:rPr>
                <w:rFonts w:hint="eastAsia" w:ascii="宋体" w:hAnsi="宋体"/>
              </w:rPr>
            </w:pPr>
          </w:p>
        </w:tc>
        <w:tc>
          <w:tcPr>
            <w:tcW w:w="1417" w:type="dxa"/>
            <w:vAlign w:val="top"/>
          </w:tcPr>
          <w:p>
            <w:pPr>
              <w:pStyle w:val="8"/>
              <w:spacing w:line="360" w:lineRule="auto"/>
              <w:rPr>
                <w:rFonts w:hint="eastAsia" w:ascii="宋体" w:hAnsi="宋体"/>
              </w:rPr>
            </w:pPr>
          </w:p>
        </w:tc>
        <w:tc>
          <w:tcPr>
            <w:tcW w:w="2078" w:type="dxa"/>
            <w:vAlign w:val="top"/>
          </w:tcPr>
          <w:p>
            <w:pPr>
              <w:pStyle w:val="8"/>
              <w:spacing w:line="360" w:lineRule="auto"/>
              <w:rPr>
                <w:rFonts w:hint="eastAsia" w:ascii="宋体" w:hAnsi="宋体"/>
              </w:rPr>
            </w:pPr>
          </w:p>
        </w:tc>
        <w:tc>
          <w:tcPr>
            <w:tcW w:w="156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8"/>
              <w:spacing w:line="360" w:lineRule="auto"/>
              <w:rPr>
                <w:rFonts w:hint="eastAsia" w:ascii="宋体" w:hAnsi="宋体"/>
              </w:rPr>
            </w:pPr>
          </w:p>
        </w:tc>
        <w:tc>
          <w:tcPr>
            <w:tcW w:w="1417" w:type="dxa"/>
            <w:vAlign w:val="top"/>
          </w:tcPr>
          <w:p>
            <w:pPr>
              <w:pStyle w:val="8"/>
              <w:spacing w:line="360" w:lineRule="auto"/>
              <w:rPr>
                <w:rFonts w:hint="eastAsia" w:ascii="宋体" w:hAnsi="宋体"/>
              </w:rPr>
            </w:pPr>
          </w:p>
        </w:tc>
        <w:tc>
          <w:tcPr>
            <w:tcW w:w="2078" w:type="dxa"/>
            <w:vAlign w:val="top"/>
          </w:tcPr>
          <w:p>
            <w:pPr>
              <w:pStyle w:val="8"/>
              <w:spacing w:line="360" w:lineRule="auto"/>
              <w:rPr>
                <w:rFonts w:hint="eastAsia" w:ascii="宋体" w:hAnsi="宋体"/>
              </w:rPr>
            </w:pPr>
          </w:p>
        </w:tc>
        <w:tc>
          <w:tcPr>
            <w:tcW w:w="156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8"/>
              <w:spacing w:line="360" w:lineRule="auto"/>
              <w:rPr>
                <w:rFonts w:hint="eastAsia" w:ascii="宋体" w:hAnsi="宋体"/>
              </w:rPr>
            </w:pPr>
          </w:p>
        </w:tc>
        <w:tc>
          <w:tcPr>
            <w:tcW w:w="1417" w:type="dxa"/>
            <w:vAlign w:val="top"/>
          </w:tcPr>
          <w:p>
            <w:pPr>
              <w:pStyle w:val="8"/>
              <w:spacing w:line="360" w:lineRule="auto"/>
              <w:rPr>
                <w:rFonts w:hint="eastAsia" w:ascii="宋体" w:hAnsi="宋体"/>
              </w:rPr>
            </w:pPr>
          </w:p>
        </w:tc>
        <w:tc>
          <w:tcPr>
            <w:tcW w:w="2078" w:type="dxa"/>
            <w:vAlign w:val="top"/>
          </w:tcPr>
          <w:p>
            <w:pPr>
              <w:pStyle w:val="8"/>
              <w:spacing w:line="360" w:lineRule="auto"/>
              <w:rPr>
                <w:rFonts w:hint="eastAsia" w:ascii="宋体" w:hAnsi="宋体"/>
              </w:rPr>
            </w:pPr>
          </w:p>
        </w:tc>
        <w:tc>
          <w:tcPr>
            <w:tcW w:w="156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c>
          <w:tcPr>
            <w:tcW w:w="1650" w:type="dxa"/>
            <w:vAlign w:val="top"/>
          </w:tcPr>
          <w:p>
            <w:pPr>
              <w:pStyle w:val="8"/>
              <w:spacing w:line="360" w:lineRule="auto"/>
              <w:rPr>
                <w:rFonts w:hint="eastAsia" w:ascii="宋体" w:hAnsi="宋体"/>
              </w:rPr>
            </w:pPr>
          </w:p>
        </w:tc>
      </w:tr>
      <w:bookmarkEnd w:id="8"/>
      <w:bookmarkEnd w:id="9"/>
    </w:tbl>
    <w:p>
      <w:pPr>
        <w:autoSpaceDE w:val="0"/>
        <w:autoSpaceDN w:val="0"/>
        <w:adjustRightInd w:val="0"/>
        <w:spacing w:before="156" w:beforeLines="50" w:after="156" w:afterLines="50" w:line="400" w:lineRule="exact"/>
        <w:jc w:val="left"/>
        <w:rPr>
          <w:rFonts w:hint="eastAsia" w:ascii="宋体" w:hAnsi="宋体"/>
          <w:sz w:val="24"/>
        </w:rPr>
      </w:pPr>
    </w:p>
    <w:p>
      <w:pPr>
        <w:autoSpaceDE w:val="0"/>
        <w:autoSpaceDN w:val="0"/>
        <w:adjustRightInd w:val="0"/>
        <w:spacing w:before="156" w:beforeLines="50" w:after="156" w:afterLines="50" w:line="400" w:lineRule="exact"/>
        <w:jc w:val="left"/>
        <w:rPr>
          <w:rFonts w:hint="eastAsia" w:ascii="宋体" w:hAnsi="宋体"/>
          <w:b/>
          <w:sz w:val="24"/>
        </w:rPr>
      </w:pPr>
      <w:r>
        <w:rPr>
          <w:rFonts w:hint="eastAsia" w:ascii="宋体" w:hAnsi="宋体"/>
          <w:sz w:val="24"/>
        </w:rPr>
        <w:t>注：</w:t>
      </w:r>
      <w:r>
        <w:rPr>
          <w:rFonts w:hint="eastAsia" w:ascii="宋体" w:hAnsi="宋体"/>
          <w:b/>
          <w:sz w:val="24"/>
        </w:rPr>
        <w:t>1、本表中填写投标文件中与招标文件要求的偏离情况（包括正偏离、无偏离和负偏离），投标人在投标文件中应根据招标文件要求对技术规格及指标响应情况逐项进行应答。</w:t>
      </w:r>
    </w:p>
    <w:p>
      <w:pPr>
        <w:spacing w:line="360" w:lineRule="auto"/>
        <w:ind w:left="598" w:leftChars="285"/>
        <w:rPr>
          <w:rFonts w:hint="eastAsia" w:ascii="宋体" w:hAnsi="宋体"/>
          <w:sz w:val="24"/>
        </w:rPr>
      </w:pPr>
      <w:r>
        <w:rPr>
          <w:rFonts w:hint="eastAsia" w:ascii="宋体" w:hAnsi="宋体"/>
          <w:sz w:val="24"/>
        </w:rPr>
        <w:t>2、此表可以相同格式进行扩展。</w:t>
      </w:r>
    </w:p>
    <w:p>
      <w:pPr>
        <w:adjustRightInd w:val="0"/>
        <w:spacing w:line="360" w:lineRule="auto"/>
        <w:ind w:firstLine="420" w:firstLineChars="175"/>
        <w:jc w:val="left"/>
        <w:rPr>
          <w:rFonts w:hint="eastAsia" w:ascii="宋体" w:hAnsi="宋体"/>
          <w:bCs/>
          <w:sz w:val="24"/>
        </w:rPr>
      </w:pPr>
    </w:p>
    <w:p>
      <w:pPr>
        <w:adjustRightInd w:val="0"/>
        <w:spacing w:line="360" w:lineRule="auto"/>
        <w:ind w:firstLine="660" w:firstLineChars="275"/>
        <w:jc w:val="left"/>
        <w:rPr>
          <w:rFonts w:hint="eastAsia" w:ascii="宋体" w:hAnsi="宋体"/>
          <w:bCs/>
          <w:sz w:val="24"/>
        </w:rPr>
      </w:pPr>
      <w:r>
        <w:rPr>
          <w:rFonts w:hint="eastAsia" w:ascii="宋体" w:hAnsi="宋体"/>
          <w:bCs/>
          <w:sz w:val="24"/>
        </w:rPr>
        <w:t>投标人名称：        （盖章）</w:t>
      </w:r>
    </w:p>
    <w:p>
      <w:pPr>
        <w:adjustRightInd w:val="0"/>
        <w:spacing w:line="360" w:lineRule="auto"/>
        <w:ind w:firstLine="420" w:firstLineChars="175"/>
        <w:jc w:val="left"/>
        <w:rPr>
          <w:rFonts w:hint="eastAsia" w:ascii="宋体" w:hAnsi="宋体"/>
          <w:sz w:val="24"/>
        </w:rPr>
      </w:pPr>
    </w:p>
    <w:p>
      <w:pPr>
        <w:adjustRightInd w:val="0"/>
        <w:spacing w:line="360" w:lineRule="auto"/>
        <w:ind w:firstLine="420" w:firstLineChars="175"/>
        <w:jc w:val="left"/>
        <w:rPr>
          <w:rFonts w:ascii="宋体" w:hAnsi="宋体"/>
          <w:bCs/>
          <w:sz w:val="24"/>
        </w:rPr>
      </w:pPr>
      <w:r>
        <w:rPr>
          <w:rFonts w:hint="eastAsia" w:ascii="宋体" w:hAnsi="宋体"/>
          <w:sz w:val="24"/>
        </w:rPr>
        <w:t>法定代表人或被授权代表（签字</w:t>
      </w:r>
      <w:r>
        <w:rPr>
          <w:rFonts w:hint="eastAsia" w:ascii="宋体" w:hAnsi="宋体"/>
          <w:bCs/>
          <w:sz w:val="24"/>
        </w:rPr>
        <w:t>或签章</w:t>
      </w:r>
      <w:r>
        <w:rPr>
          <w:rFonts w:hint="eastAsia" w:ascii="宋体" w:hAnsi="宋体"/>
          <w:sz w:val="24"/>
        </w:rPr>
        <w:t>）</w:t>
      </w:r>
      <w:r>
        <w:rPr>
          <w:rFonts w:hint="eastAsia" w:ascii="宋体" w:hAnsi="宋体"/>
          <w:bCs/>
          <w:sz w:val="24"/>
        </w:rPr>
        <w:t>：</w:t>
      </w:r>
    </w:p>
    <w:p>
      <w:pPr>
        <w:spacing w:line="360" w:lineRule="auto"/>
        <w:ind w:firstLine="480" w:firstLineChars="200"/>
        <w:rPr>
          <w:rFonts w:hint="eastAsia" w:ascii="宋体" w:hAnsi="宋体"/>
          <w:bCs/>
          <w:sz w:val="24"/>
        </w:rPr>
      </w:pPr>
    </w:p>
    <w:p>
      <w:pPr>
        <w:spacing w:line="360" w:lineRule="auto"/>
        <w:ind w:firstLine="480" w:firstLineChars="200"/>
        <w:rPr>
          <w:rFonts w:hint="eastAsia" w:ascii="宋体" w:hAnsi="宋体"/>
          <w:bCs/>
          <w:sz w:val="24"/>
        </w:rPr>
      </w:pPr>
      <w:r>
        <w:rPr>
          <w:rFonts w:hint="eastAsia" w:ascii="宋体" w:hAnsi="宋体"/>
          <w:bCs/>
          <w:sz w:val="24"/>
        </w:rPr>
        <w:t>投标日期</w:t>
      </w:r>
      <w:r>
        <w:rPr>
          <w:rFonts w:ascii="宋体" w:hAnsi="宋体"/>
          <w:bCs/>
          <w:sz w:val="24"/>
        </w:rPr>
        <w:t>:</w:t>
      </w:r>
    </w:p>
    <w:p>
      <w:pPr>
        <w:spacing w:line="360" w:lineRule="auto"/>
        <w:rPr>
          <w:rFonts w:hint="eastAsia" w:ascii="宋体" w:hAnsi="宋体"/>
          <w:bCs/>
          <w:sz w:val="24"/>
        </w:rPr>
      </w:pP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注：</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供应商必须据实填写，不得虚假应答，否则将取消其报价或成交资格。如与 谈判文件所列技术相关条款无偏离（包括正偏离和负偏离），则无须逐条应答。如有偏离条款，请将偏离条款逐条应答。未明确偏离的条款，视为默认接受，供应商不得以未作应答而拒不接受。若谈判文件中有要求提供证明材料的技术条款应当在此表中列出并应答。</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三、商务要求响应/偏离表 </w:t>
      </w:r>
    </w:p>
    <w:p>
      <w:pPr>
        <w:pStyle w:val="2"/>
        <w:spacing w:line="400" w:lineRule="exact"/>
        <w:rPr>
          <w:rFonts w:hint="eastAsia" w:ascii="宋体" w:hAnsi="宋体"/>
          <w:sz w:val="21"/>
          <w:szCs w:val="21"/>
        </w:rPr>
      </w:pPr>
      <w:r>
        <w:rPr>
          <w:rFonts w:hint="eastAsia" w:ascii="仿宋" w:hAnsi="仿宋" w:eastAsia="仿宋" w:cs="仿宋"/>
          <w:b/>
          <w:color w:val="000000"/>
          <w:kern w:val="0"/>
          <w:sz w:val="28"/>
          <w:szCs w:val="28"/>
          <w:lang w:val="en-US" w:eastAsia="zh-CN" w:bidi="ar"/>
        </w:rPr>
        <w:t xml:space="preserve">谈判供应商名称： 谈判编号： </w:t>
      </w:r>
      <w:r>
        <w:rPr>
          <w:rFonts w:hint="eastAsia" w:ascii="宋体" w:hAnsi="宋体"/>
          <w:bCs w:val="0"/>
        </w:rPr>
        <w:t>项目要求应答表</w:t>
      </w:r>
      <w:r>
        <w:rPr>
          <w:rFonts w:hint="eastAsia"/>
          <w:sz w:val="21"/>
          <w:szCs w:val="21"/>
        </w:rPr>
        <w:t xml:space="preserve">                                </w:t>
      </w:r>
    </w:p>
    <w:tbl>
      <w:tblPr>
        <w:tblStyle w:val="7"/>
        <w:tblW w:w="73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126"/>
        <w:gridCol w:w="311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7" w:hRule="atLeast"/>
          <w:jc w:val="center"/>
        </w:trPr>
        <w:tc>
          <w:tcPr>
            <w:tcW w:w="944" w:type="dxa"/>
            <w:vAlign w:val="center"/>
          </w:tcPr>
          <w:p>
            <w:pPr>
              <w:pStyle w:val="4"/>
              <w:tabs>
                <w:tab w:val="left" w:pos="6880"/>
              </w:tabs>
              <w:spacing w:line="360" w:lineRule="auto"/>
              <w:ind w:firstLine="0"/>
              <w:rPr>
                <w:rFonts w:hint="eastAsia" w:ascii="宋体" w:hAnsi="宋体" w:cs="宋体"/>
                <w:b/>
                <w:kern w:val="0"/>
                <w:sz w:val="24"/>
              </w:rPr>
            </w:pPr>
            <w:r>
              <w:rPr>
                <w:rFonts w:hint="eastAsia" w:ascii="宋体" w:hAnsi="宋体" w:cs="宋体"/>
                <w:b/>
                <w:kern w:val="0"/>
                <w:sz w:val="24"/>
              </w:rPr>
              <w:t>序号</w:t>
            </w:r>
          </w:p>
        </w:tc>
        <w:tc>
          <w:tcPr>
            <w:tcW w:w="2126" w:type="dxa"/>
            <w:vAlign w:val="center"/>
          </w:tcPr>
          <w:p>
            <w:pPr>
              <w:pStyle w:val="4"/>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招标文件要求</w:t>
            </w:r>
          </w:p>
        </w:tc>
        <w:tc>
          <w:tcPr>
            <w:tcW w:w="3119" w:type="dxa"/>
            <w:vAlign w:val="center"/>
          </w:tcPr>
          <w:p>
            <w:pPr>
              <w:pStyle w:val="4"/>
              <w:tabs>
                <w:tab w:val="left" w:pos="6880"/>
              </w:tabs>
              <w:spacing w:line="360" w:lineRule="auto"/>
              <w:ind w:firstLine="422"/>
              <w:jc w:val="center"/>
              <w:rPr>
                <w:rFonts w:hint="eastAsia" w:ascii="宋体" w:hAnsi="宋体" w:cs="宋体"/>
                <w:b/>
                <w:kern w:val="0"/>
                <w:sz w:val="24"/>
              </w:rPr>
            </w:pPr>
            <w:r>
              <w:rPr>
                <w:rFonts w:hint="eastAsia" w:ascii="宋体" w:hAnsi="宋体" w:cs="宋体"/>
                <w:b/>
                <w:kern w:val="0"/>
                <w:sz w:val="24"/>
              </w:rPr>
              <w:t>投标文件的应答</w:t>
            </w:r>
          </w:p>
        </w:tc>
        <w:tc>
          <w:tcPr>
            <w:tcW w:w="1134" w:type="dxa"/>
            <w:vAlign w:val="center"/>
          </w:tcPr>
          <w:p>
            <w:pPr>
              <w:pStyle w:val="4"/>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4"/>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1</w:t>
            </w:r>
          </w:p>
        </w:tc>
        <w:tc>
          <w:tcPr>
            <w:tcW w:w="2126" w:type="dxa"/>
            <w:vAlign w:val="center"/>
          </w:tcPr>
          <w:p>
            <w:pPr>
              <w:pStyle w:val="4"/>
              <w:tabs>
                <w:tab w:val="left" w:pos="6880"/>
              </w:tabs>
              <w:spacing w:line="360" w:lineRule="auto"/>
              <w:rPr>
                <w:rFonts w:hint="eastAsia" w:ascii="宋体" w:hAnsi="宋体" w:cs="宋体"/>
                <w:kern w:val="0"/>
                <w:sz w:val="24"/>
              </w:rPr>
            </w:pPr>
          </w:p>
        </w:tc>
        <w:tc>
          <w:tcPr>
            <w:tcW w:w="3119" w:type="dxa"/>
            <w:vAlign w:val="center"/>
          </w:tcPr>
          <w:p>
            <w:pPr>
              <w:pStyle w:val="4"/>
              <w:tabs>
                <w:tab w:val="left" w:pos="6880"/>
              </w:tabs>
              <w:spacing w:line="360" w:lineRule="auto"/>
              <w:rPr>
                <w:rFonts w:hint="eastAsia" w:ascii="宋体" w:hAnsi="宋体" w:cs="宋体"/>
                <w:kern w:val="0"/>
                <w:sz w:val="24"/>
              </w:rPr>
            </w:pPr>
          </w:p>
        </w:tc>
        <w:tc>
          <w:tcPr>
            <w:tcW w:w="1134" w:type="dxa"/>
            <w:vAlign w:val="center"/>
          </w:tcPr>
          <w:p>
            <w:pPr>
              <w:pStyle w:val="4"/>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4"/>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2</w:t>
            </w:r>
          </w:p>
        </w:tc>
        <w:tc>
          <w:tcPr>
            <w:tcW w:w="2126" w:type="dxa"/>
            <w:vAlign w:val="center"/>
          </w:tcPr>
          <w:p>
            <w:pPr>
              <w:pStyle w:val="4"/>
              <w:tabs>
                <w:tab w:val="left" w:pos="6880"/>
              </w:tabs>
              <w:spacing w:line="360" w:lineRule="auto"/>
              <w:rPr>
                <w:rFonts w:hint="eastAsia" w:ascii="宋体" w:hAnsi="宋体" w:cs="宋体"/>
                <w:kern w:val="0"/>
                <w:sz w:val="24"/>
              </w:rPr>
            </w:pPr>
          </w:p>
        </w:tc>
        <w:tc>
          <w:tcPr>
            <w:tcW w:w="3119" w:type="dxa"/>
            <w:vAlign w:val="center"/>
          </w:tcPr>
          <w:p>
            <w:pPr>
              <w:pStyle w:val="4"/>
              <w:tabs>
                <w:tab w:val="left" w:pos="6880"/>
              </w:tabs>
              <w:spacing w:line="360" w:lineRule="auto"/>
              <w:rPr>
                <w:rFonts w:hint="eastAsia" w:ascii="宋体" w:hAnsi="宋体" w:cs="宋体"/>
                <w:kern w:val="0"/>
                <w:sz w:val="24"/>
              </w:rPr>
            </w:pPr>
          </w:p>
        </w:tc>
        <w:tc>
          <w:tcPr>
            <w:tcW w:w="1134" w:type="dxa"/>
            <w:vAlign w:val="center"/>
          </w:tcPr>
          <w:p>
            <w:pPr>
              <w:pStyle w:val="4"/>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4"/>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3</w:t>
            </w:r>
          </w:p>
        </w:tc>
        <w:tc>
          <w:tcPr>
            <w:tcW w:w="2126" w:type="dxa"/>
            <w:vAlign w:val="center"/>
          </w:tcPr>
          <w:p>
            <w:pPr>
              <w:pStyle w:val="4"/>
              <w:tabs>
                <w:tab w:val="left" w:pos="6880"/>
              </w:tabs>
              <w:spacing w:line="360" w:lineRule="auto"/>
              <w:rPr>
                <w:rFonts w:hint="eastAsia" w:ascii="宋体" w:hAnsi="宋体" w:cs="宋体"/>
                <w:kern w:val="0"/>
                <w:sz w:val="24"/>
              </w:rPr>
            </w:pPr>
          </w:p>
        </w:tc>
        <w:tc>
          <w:tcPr>
            <w:tcW w:w="3119" w:type="dxa"/>
            <w:vAlign w:val="center"/>
          </w:tcPr>
          <w:p>
            <w:pPr>
              <w:pStyle w:val="4"/>
              <w:tabs>
                <w:tab w:val="left" w:pos="6880"/>
              </w:tabs>
              <w:spacing w:line="360" w:lineRule="auto"/>
              <w:rPr>
                <w:rFonts w:hint="eastAsia" w:ascii="宋体" w:hAnsi="宋体" w:cs="宋体"/>
                <w:kern w:val="0"/>
                <w:sz w:val="24"/>
              </w:rPr>
            </w:pPr>
          </w:p>
        </w:tc>
        <w:tc>
          <w:tcPr>
            <w:tcW w:w="1134" w:type="dxa"/>
            <w:vAlign w:val="center"/>
          </w:tcPr>
          <w:p>
            <w:pPr>
              <w:pStyle w:val="4"/>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4"/>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4</w:t>
            </w:r>
          </w:p>
        </w:tc>
        <w:tc>
          <w:tcPr>
            <w:tcW w:w="2126" w:type="dxa"/>
            <w:vAlign w:val="center"/>
          </w:tcPr>
          <w:p>
            <w:pPr>
              <w:pStyle w:val="4"/>
              <w:tabs>
                <w:tab w:val="left" w:pos="6880"/>
              </w:tabs>
              <w:spacing w:line="360" w:lineRule="auto"/>
              <w:rPr>
                <w:rFonts w:hint="eastAsia" w:ascii="宋体" w:hAnsi="宋体" w:cs="宋体"/>
                <w:kern w:val="0"/>
                <w:sz w:val="24"/>
              </w:rPr>
            </w:pPr>
          </w:p>
        </w:tc>
        <w:tc>
          <w:tcPr>
            <w:tcW w:w="3119" w:type="dxa"/>
            <w:vAlign w:val="center"/>
          </w:tcPr>
          <w:p>
            <w:pPr>
              <w:pStyle w:val="4"/>
              <w:tabs>
                <w:tab w:val="left" w:pos="6880"/>
              </w:tabs>
              <w:spacing w:line="360" w:lineRule="auto"/>
              <w:rPr>
                <w:rFonts w:hint="eastAsia" w:ascii="宋体" w:hAnsi="宋体" w:cs="宋体"/>
                <w:kern w:val="0"/>
                <w:sz w:val="24"/>
              </w:rPr>
            </w:pPr>
          </w:p>
        </w:tc>
        <w:tc>
          <w:tcPr>
            <w:tcW w:w="1134" w:type="dxa"/>
            <w:vAlign w:val="center"/>
          </w:tcPr>
          <w:p>
            <w:pPr>
              <w:pStyle w:val="4"/>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4"/>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5</w:t>
            </w:r>
          </w:p>
        </w:tc>
        <w:tc>
          <w:tcPr>
            <w:tcW w:w="2126" w:type="dxa"/>
            <w:vAlign w:val="center"/>
          </w:tcPr>
          <w:p>
            <w:pPr>
              <w:pStyle w:val="4"/>
              <w:tabs>
                <w:tab w:val="left" w:pos="6880"/>
              </w:tabs>
              <w:spacing w:line="360" w:lineRule="auto"/>
              <w:rPr>
                <w:rFonts w:hint="eastAsia" w:ascii="宋体" w:hAnsi="宋体" w:cs="宋体"/>
                <w:kern w:val="0"/>
                <w:sz w:val="24"/>
              </w:rPr>
            </w:pPr>
          </w:p>
        </w:tc>
        <w:tc>
          <w:tcPr>
            <w:tcW w:w="3119" w:type="dxa"/>
            <w:vAlign w:val="center"/>
          </w:tcPr>
          <w:p>
            <w:pPr>
              <w:pStyle w:val="4"/>
              <w:tabs>
                <w:tab w:val="left" w:pos="6880"/>
              </w:tabs>
              <w:spacing w:line="360" w:lineRule="auto"/>
              <w:rPr>
                <w:rFonts w:hint="eastAsia" w:ascii="宋体" w:hAnsi="宋体" w:cs="宋体"/>
                <w:kern w:val="0"/>
                <w:sz w:val="24"/>
              </w:rPr>
            </w:pPr>
          </w:p>
        </w:tc>
        <w:tc>
          <w:tcPr>
            <w:tcW w:w="1134" w:type="dxa"/>
            <w:vAlign w:val="center"/>
          </w:tcPr>
          <w:p>
            <w:pPr>
              <w:pStyle w:val="4"/>
              <w:tabs>
                <w:tab w:val="left" w:pos="6880"/>
              </w:tabs>
              <w:spacing w:line="360" w:lineRule="auto"/>
              <w:rPr>
                <w:rFonts w:hint="eastAsia" w:ascii="宋体" w:hAnsi="宋体" w:cs="宋体"/>
                <w:kern w:val="0"/>
                <w:sz w:val="24"/>
              </w:rPr>
            </w:pPr>
          </w:p>
        </w:tc>
      </w:tr>
    </w:tbl>
    <w:p>
      <w:pPr>
        <w:spacing w:line="400" w:lineRule="exact"/>
        <w:rPr>
          <w:rFonts w:ascii="宋体" w:hAnsi="宋体"/>
          <w:sz w:val="24"/>
        </w:rPr>
      </w:pPr>
      <w:r>
        <w:rPr>
          <w:rFonts w:hint="eastAsia" w:ascii="宋体" w:hAnsi="宋体"/>
          <w:sz w:val="24"/>
        </w:rPr>
        <w:t>注：</w:t>
      </w:r>
      <w:r>
        <w:rPr>
          <w:rFonts w:hint="eastAsia" w:hAnsi="宋体"/>
          <w:sz w:val="24"/>
        </w:rPr>
        <w:t>1、</w:t>
      </w:r>
      <w:r>
        <w:rPr>
          <w:rFonts w:hint="eastAsia" w:ascii="宋体" w:hAnsi="宋体"/>
          <w:sz w:val="24"/>
        </w:rPr>
        <w:t>供应商应根据本招标文件第二部分中的项目要求据实填写，不得虚假填写，否则将取消其投标或中标资格。</w:t>
      </w:r>
    </w:p>
    <w:p>
      <w:pPr>
        <w:adjustRightInd w:val="0"/>
        <w:spacing w:line="400" w:lineRule="exact"/>
        <w:ind w:firstLine="420" w:firstLineChars="175"/>
        <w:jc w:val="left"/>
        <w:rPr>
          <w:rFonts w:hint="eastAsia" w:ascii="宋体" w:hAnsi="宋体"/>
          <w:bCs/>
          <w:sz w:val="24"/>
        </w:rPr>
      </w:pPr>
    </w:p>
    <w:p>
      <w:pPr>
        <w:adjustRightInd w:val="0"/>
        <w:spacing w:line="400" w:lineRule="exact"/>
        <w:jc w:val="left"/>
        <w:rPr>
          <w:rFonts w:hint="eastAsia" w:hAnsi="宋体"/>
          <w:bCs/>
          <w:sz w:val="24"/>
        </w:rPr>
      </w:pPr>
      <w:r>
        <w:rPr>
          <w:rFonts w:hint="eastAsia" w:hAnsi="宋体"/>
          <w:bCs/>
          <w:sz w:val="24"/>
        </w:rPr>
        <w:t xml:space="preserve">   </w:t>
      </w:r>
    </w:p>
    <w:p>
      <w:pPr>
        <w:adjustRightInd w:val="0"/>
        <w:spacing w:line="400" w:lineRule="exact"/>
        <w:jc w:val="left"/>
        <w:rPr>
          <w:rFonts w:hint="eastAsia" w:hAnsi="宋体"/>
          <w:bCs/>
          <w:sz w:val="24"/>
        </w:rPr>
      </w:pPr>
    </w:p>
    <w:p>
      <w:pPr>
        <w:adjustRightInd w:val="0"/>
        <w:spacing w:line="400" w:lineRule="exact"/>
        <w:jc w:val="left"/>
        <w:rPr>
          <w:rFonts w:hint="eastAsia" w:ascii="宋体" w:hAnsi="宋体"/>
          <w:bCs/>
          <w:sz w:val="24"/>
        </w:rPr>
      </w:pPr>
      <w:r>
        <w:rPr>
          <w:rFonts w:hint="eastAsia" w:hAnsi="宋体"/>
          <w:bCs/>
          <w:sz w:val="24"/>
        </w:rPr>
        <w:t xml:space="preserve">   </w:t>
      </w:r>
      <w:r>
        <w:rPr>
          <w:rFonts w:hint="eastAsia" w:ascii="宋体" w:hAnsi="宋体"/>
          <w:bCs/>
          <w:sz w:val="24"/>
        </w:rPr>
        <w:t>投标人名称：        （盖章）</w:t>
      </w:r>
    </w:p>
    <w:p>
      <w:pPr>
        <w:spacing w:line="400" w:lineRule="exact"/>
        <w:ind w:firstLine="360" w:firstLineChars="150"/>
        <w:rPr>
          <w:rFonts w:hint="eastAsia" w:ascii="宋体" w:hAnsi="宋体"/>
          <w:bCs/>
          <w:sz w:val="24"/>
        </w:rPr>
      </w:pPr>
      <w:r>
        <w:rPr>
          <w:rFonts w:hint="eastAsia" w:ascii="宋体" w:hAnsi="宋体"/>
          <w:sz w:val="24"/>
        </w:rPr>
        <w:t>法定代表人或授权代表（签字</w:t>
      </w:r>
      <w:r>
        <w:rPr>
          <w:rFonts w:hint="eastAsia" w:hAnsi="宋体"/>
          <w:sz w:val="24"/>
        </w:rPr>
        <w:t>或盖章</w:t>
      </w:r>
      <w:r>
        <w:rPr>
          <w:rFonts w:hint="eastAsia" w:ascii="宋体" w:hAnsi="宋体"/>
          <w:sz w:val="24"/>
        </w:rPr>
        <w:t>）</w:t>
      </w:r>
      <w:r>
        <w:rPr>
          <w:rFonts w:hint="eastAsia" w:ascii="宋体" w:hAnsi="宋体"/>
          <w:bCs/>
          <w:sz w:val="24"/>
        </w:rPr>
        <w:t>：</w:t>
      </w:r>
    </w:p>
    <w:p>
      <w:pPr>
        <w:spacing w:line="400" w:lineRule="exact"/>
        <w:ind w:firstLine="360" w:firstLineChars="150"/>
        <w:rPr>
          <w:rFonts w:hint="eastAsia" w:ascii="宋体" w:hAnsi="宋体"/>
          <w:bCs/>
          <w:sz w:val="24"/>
        </w:rPr>
      </w:pPr>
      <w:r>
        <w:rPr>
          <w:rFonts w:hint="eastAsia" w:ascii="宋体" w:hAnsi="宋体"/>
          <w:bCs/>
          <w:sz w:val="24"/>
        </w:rPr>
        <w:t>投标日期</w:t>
      </w:r>
      <w:r>
        <w:rPr>
          <w:rFonts w:ascii="宋体" w:hAnsi="宋体"/>
          <w:bCs/>
          <w:sz w:val="24"/>
        </w:rPr>
        <w:t>:</w:t>
      </w:r>
    </w:p>
    <w:p>
      <w:pPr>
        <w:keepNext w:val="0"/>
        <w:keepLines w:val="0"/>
        <w:widowControl/>
        <w:suppressLineNumbers w:val="0"/>
        <w:jc w:val="left"/>
        <w:rPr>
          <w:rFonts w:hint="eastAsia" w:ascii="仿宋" w:hAnsi="仿宋" w:eastAsia="仿宋" w:cs="仿宋"/>
          <w:sz w:val="28"/>
          <w:szCs w:val="28"/>
        </w:rPr>
      </w:pP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商务、技术、服务应答附表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（仅用于成交结果公告，此表不作为评审内容）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根据《中华人民共和国政府采购法实施条例》第四十三条第三款要求，中标、 成交结果公告应当公告中标（成交）供应商的相关内容，请供应商根据响应情况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如实完善以下内容，结果公告时公布中标（成交）供应商的相关信息。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中标（成交）供应商的相关信息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项目名称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供应商名称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供应商应答“采购 文件”的主要内容</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主要中标或者成交标的的 名称</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主要中标或者成交标的的 规格型号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主要中标或者成交标的的 数量</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主要中标或者成交标的的 单价</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主要中标或者成交标的的 服务要求（如：交货期、质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保期、售后服务等等）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注：</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1、供应商需如实完善表格内容。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2、供应商应答的主要内容应与响应文件一致，可以进行简要概括性表述。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3、供应商应答的主要内容仅用于结果公告，供应商自行完善的内容视为不涉及 供应商商业秘密。若供应商没有填写或没有递交此表，视为允许采购代理机构将 供应商响应文件中所有相关的应答内容进行公告。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供应商名称： （盖章）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法定代表人/单位负责人或授权代表（签字或加盖个人名章）：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报价日期:</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四、质量保证和售后服务承诺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致：</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我方参与谈判编号为 的 （项目名称）的服务提供以下质量保证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和售后服务承诺：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供应商名称：（全称并盖章）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法定代表人/单位负责人或授权代表（签字或加盖个人名章）：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___________________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日期：</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五、服务计划及承诺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项目名称：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采购编号：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正文格式自拟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供应商名称： (盖章)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法定代表人/单位负责人或授权代表： （签字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或加盖个人名章） </w:t>
      </w:r>
    </w:p>
    <w:p>
      <w:pPr>
        <w:keepNext w:val="0"/>
        <w:keepLines w:val="0"/>
        <w:widowControl/>
        <w:suppressLineNumbers w:val="0"/>
        <w:jc w:val="left"/>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日期： 年 月 日</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六、报价组成因素（参与响应的货物或服务清单）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格式自拟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b/>
          <w:color w:val="000000"/>
          <w:kern w:val="0"/>
          <w:sz w:val="28"/>
          <w:szCs w:val="28"/>
          <w:lang w:val="en-US" w:eastAsia="zh-CN" w:bidi="ar"/>
        </w:rPr>
        <w:t xml:space="preserve">七、中小企业（监狱企业）申明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本公司郑重声明，根据《政府采购促进中小企业发展暂行办法》（财库〔2011〕 181 号）或《政府采购支持监狱企业发展有关问题的通知》（财库〔2014〕68 号）的规定，本公司为______（请填写：中型、小型、微型或监狱）企业。即， 本公司同时满足以下条件：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1.根据《工业和信息化部、国家统计局、国家发展和改革委员会、财政部关 于印发中小企业划型标准规定的通知》（工信部联企业〔2011〕300 号）或《政 府采购支持监狱企业发展有关问题的通知》（财库〔2014〕68 号）规定的划分 标准，本公司为______（请填写：中型、小型、微型或监狱）企业。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2.本公司参加______单位的______项目采购活动提供本企业制造的货物及 服务，由本企业承担工程、提供服务，或者提供其他______（请填写：中型、小 型、微型或监狱）企业制造的货物。本条所称货物不包括使用大型企业注册商标 的货物。本公司对上述声明的真实性负责。如有虚假，将依法承担相应责任。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企业名称（盖章）： </w:t>
      </w:r>
    </w:p>
    <w:p>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
        </w:rPr>
        <w:t xml:space="preserve">日 期： </w:t>
      </w:r>
    </w:p>
    <w:p>
      <w:pPr>
        <w:rPr>
          <w:rFonts w:hint="eastAsia" w:ascii="仿宋" w:hAnsi="仿宋" w:eastAsia="仿宋" w:cs="仿宋"/>
          <w:sz w:val="28"/>
          <w:szCs w:val="28"/>
        </w:rPr>
      </w:pPr>
    </w:p>
    <w:p>
      <w:bookmarkStart w:id="10" w:name="_GoBack"/>
      <w:bookmarkEnd w:id="1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imesNewRomanPS-BoldMT">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556B6"/>
    <w:multiLevelType w:val="singleLevel"/>
    <w:tmpl w:val="11B556B6"/>
    <w:lvl w:ilvl="0" w:tentative="0">
      <w:start w:val="1"/>
      <w:numFmt w:val="chineseCounting"/>
      <w:suff w:val="nothing"/>
      <w:lvlText w:val="%1、"/>
      <w:lvlJc w:val="left"/>
      <w:rPr>
        <w:rFonts w:hint="eastAsia"/>
      </w:rPr>
    </w:lvl>
  </w:abstractNum>
  <w:abstractNum w:abstractNumId="1">
    <w:nsid w:val="154E977C"/>
    <w:multiLevelType w:val="singleLevel"/>
    <w:tmpl w:val="154E977C"/>
    <w:lvl w:ilvl="0" w:tentative="0">
      <w:start w:val="2"/>
      <w:numFmt w:val="decimal"/>
      <w:suff w:val="nothing"/>
      <w:lvlText w:val="%1、"/>
      <w:lvlJc w:val="left"/>
    </w:lvl>
  </w:abstractNum>
  <w:abstractNum w:abstractNumId="2">
    <w:nsid w:val="63592A83"/>
    <w:multiLevelType w:val="multilevel"/>
    <w:tmpl w:val="63592A83"/>
    <w:lvl w:ilvl="0" w:tentative="0">
      <w:start w:val="1"/>
      <w:numFmt w:val="decimal"/>
      <w:lvlText w:val="第%1章"/>
      <w:lvlJc w:val="left"/>
      <w:pPr>
        <w:tabs>
          <w:tab w:val="left" w:pos="432"/>
        </w:tabs>
        <w:ind w:left="432" w:hanging="432"/>
      </w:pPr>
      <w:rPr>
        <w:rFonts w:hint="eastAsia"/>
        <w:b/>
        <w:i w:val="0"/>
      </w:rPr>
    </w:lvl>
    <w:lvl w:ilvl="1" w:tentative="0">
      <w:start w:val="1"/>
      <w:numFmt w:val="decimal"/>
      <w:lvlText w:val="%1.%2"/>
      <w:lvlJc w:val="left"/>
      <w:pPr>
        <w:tabs>
          <w:tab w:val="left" w:pos="576"/>
        </w:tabs>
        <w:ind w:left="576" w:hanging="576"/>
      </w:pPr>
      <w:rPr>
        <w:rFonts w:hint="eastAsia"/>
        <w:b/>
        <w:i w:val="0"/>
      </w:rPr>
    </w:lvl>
    <w:lvl w:ilvl="2" w:tentative="0">
      <w:start w:val="1"/>
      <w:numFmt w:val="decimal"/>
      <w:pStyle w:val="3"/>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F2692B"/>
    <w:rsid w:val="42F269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3">
    <w:name w:val="heading 3"/>
    <w:basedOn w:val="1"/>
    <w:next w:val="1"/>
    <w:unhideWhenUsed/>
    <w:qFormat/>
    <w:uiPriority w:val="0"/>
    <w:pPr>
      <w:keepNext/>
      <w:keepLines/>
      <w:numPr>
        <w:ilvl w:val="2"/>
        <w:numId w:val="1"/>
      </w:numPr>
      <w:spacing w:before="260" w:after="260" w:line="360" w:lineRule="auto"/>
      <w:jc w:val="left"/>
      <w:outlineLvl w:val="2"/>
    </w:pPr>
    <w:rPr>
      <w:rFonts w:eastAsia="黑体"/>
      <w:b/>
      <w:bCs/>
      <w:sz w:val="30"/>
      <w:szCs w:val="32"/>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Plain Text"/>
    <w:basedOn w:val="1"/>
    <w:qFormat/>
    <w:uiPriority w:val="0"/>
    <w:rPr>
      <w:rFonts w:ascii="Times New Roman" w:hAnsi="Times New Roman"/>
      <w:kern w:val="2"/>
      <w:sz w:val="24"/>
    </w:rPr>
  </w:style>
  <w:style w:type="paragraph" w:customStyle="1" w:styleId="8">
    <w:name w:val="表格"/>
    <w:basedOn w:val="1"/>
    <w:qFormat/>
    <w:uiPriority w:val="0"/>
    <w:pPr>
      <w:spacing w:line="400" w:lineRule="exact"/>
    </w:pPr>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2019-07-26T03:41:00Z</dcterms:created>
  <dc:creator>Administrator</dc:creator>
  <cp:lastModifiedBy>Administrator</cp:lastModifiedBy>
  <dcterms:modified xsi:type="dcterms:W3CDTF">2019-07-26T03:42:11Z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