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spacing w:line="400" w:lineRule="exact"/>
        <w:jc w:val="left"/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/>
          <w:lang w:val="en-US" w:eastAsia="zh-CN"/>
        </w:rPr>
        <w:t xml:space="preserve">                                              </w:t>
      </w:r>
      <w:bookmarkStart w:id="1" w:name="_GoBack"/>
      <w:bookmarkEnd w:id="1"/>
    </w:p>
    <w:p>
      <w:pPr>
        <w:pStyle w:val="16"/>
        <w:spacing w:line="400" w:lineRule="exact"/>
        <w:ind w:left="0" w:leftChars="0" w:firstLine="0" w:firstLineChars="0"/>
        <w:jc w:val="left"/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fldChar w:fldCharType="begin"/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instrText xml:space="preserve"> HYPERLINK "http://www.jiangmen.gov.cn/attachment/0/218/218203/2538406.doc" \t "http://www.jiangmen.gov.cn/bmpd/jmsnyncj/zwgk/xmgk/content/_blank" </w:instrText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fldChar w:fldCharType="separate"/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t>附件1： 报价表</w:t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fldChar w:fldCharType="end"/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t>（第一轮）</w:t>
      </w:r>
    </w:p>
    <w:p>
      <w:pPr>
        <w:pStyle w:val="16"/>
        <w:spacing w:line="400" w:lineRule="exact"/>
        <w:ind w:left="0" w:leftChars="0" w:firstLine="0" w:firstLineChars="0"/>
        <w:jc w:val="left"/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</w:pP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fldChar w:fldCharType="begin"/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instrText xml:space="preserve"> HYPERLINK "http://www.jiangmen.gov.cn/attachment/0/218/218203/2538406.doc" \t "http://www.jiangmen.gov.cn/bmpd/jmsnyncj/zwgk/xmgk/content/_blank" </w:instrText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fldChar w:fldCharType="separate"/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t>附件2： 最终报价承诺函</w:t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fldChar w:fldCharType="end"/>
      </w:r>
      <w:r>
        <w:rPr>
          <w:rFonts w:hint="eastAsia" w:ascii="仿宋_GB2312" w:eastAsia="仿宋_GB2312" w:cs="仿宋_GB2312" w:hAnsiTheme="minorHAnsi"/>
          <w:color w:val="666666"/>
          <w:kern w:val="0"/>
          <w:sz w:val="27"/>
          <w:szCs w:val="27"/>
          <w:shd w:val="clear" w:fill="FFFFFF"/>
          <w:lang w:val="en-US" w:eastAsia="zh-CN" w:bidi="ar"/>
        </w:rPr>
        <w:t>（第二轮）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ind w:firstLine="480"/>
        <w:rPr>
          <w:rFonts w:hint="default" w:ascii="仿宋_GB2312" w:hAnsi="仿宋_GB2312" w:eastAsia="仿宋_GB2312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"/>
          <w:b/>
          <w:bCs/>
          <w:sz w:val="28"/>
          <w:szCs w:val="28"/>
          <w:lang w:eastAsia="zh-CN"/>
        </w:rPr>
        <w:t>附件：</w:t>
      </w:r>
      <w:r>
        <w:rPr>
          <w:rFonts w:hint="eastAsia" w:ascii="仿宋_GB2312" w:hAnsi="仿宋_GB2312" w:eastAsia="仿宋_GB2312" w:cs="仿宋"/>
          <w:b/>
          <w:bCs/>
          <w:sz w:val="28"/>
          <w:szCs w:val="28"/>
          <w:lang w:val="en-US" w:eastAsia="zh-CN"/>
        </w:rPr>
        <w:t>1</w:t>
      </w:r>
    </w:p>
    <w:p>
      <w:pPr>
        <w:pStyle w:val="3"/>
        <w:rPr>
          <w:rFonts w:hint="eastAsia"/>
        </w:rPr>
      </w:pPr>
    </w:p>
    <w:p>
      <w:pPr>
        <w:pStyle w:val="3"/>
        <w:rPr>
          <w:rFonts w:hint="eastAsia" w:eastAsiaTheme="minorEastAsia"/>
          <w:sz w:val="36"/>
          <w:szCs w:val="36"/>
          <w:lang w:eastAsia="zh-CN"/>
        </w:rPr>
      </w:pPr>
      <w:r>
        <w:rPr>
          <w:rFonts w:hint="eastAsia"/>
          <w:sz w:val="36"/>
          <w:szCs w:val="36"/>
        </w:rPr>
        <w:t>报价表</w:t>
      </w:r>
      <w:r>
        <w:rPr>
          <w:rFonts w:hint="eastAsia"/>
          <w:sz w:val="36"/>
          <w:szCs w:val="36"/>
          <w:lang w:eastAsia="zh-CN"/>
        </w:rPr>
        <w:t>（第一轮）</w:t>
      </w:r>
    </w:p>
    <w:p>
      <w:pPr>
        <w:pStyle w:val="3"/>
      </w:pPr>
    </w:p>
    <w:p>
      <w:pPr>
        <w:rPr>
          <w:rFonts w:ascii="仿宋_GB2312" w:hAnsi="仿宋_GB2312" w:eastAsia="仿宋_GB2312"/>
          <w:sz w:val="28"/>
          <w:szCs w:val="28"/>
        </w:rPr>
      </w:pPr>
      <w:r>
        <w:rPr>
          <w:rFonts w:hint="eastAsia" w:ascii="仿宋_GB2312" w:hAnsi="仿宋_GB2312" w:eastAsia="仿宋_GB2312" w:cs="仿宋"/>
          <w:sz w:val="28"/>
          <w:szCs w:val="28"/>
        </w:rPr>
        <w:t>项目名称：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邻水县中医医院已</w:t>
      </w:r>
      <w:r>
        <w:rPr>
          <w:rFonts w:hint="eastAsia" w:ascii="仿宋_GB2312" w:hAnsi="仿宋_GB2312" w:eastAsia="仿宋_GB2312" w:cs="仿宋"/>
          <w:color w:val="0000FF"/>
          <w:sz w:val="28"/>
          <w:szCs w:val="28"/>
          <w:lang w:val="en-US" w:eastAsia="zh-CN"/>
        </w:rPr>
        <w:t>报废国有资产处置服务</w:t>
      </w:r>
      <w:r>
        <w:rPr>
          <w:rFonts w:hint="eastAsia" w:ascii="仿宋_GB2312" w:hAnsi="仿宋_GB2312" w:eastAsia="仿宋_GB2312" w:cs="仿宋"/>
          <w:sz w:val="28"/>
          <w:szCs w:val="28"/>
        </w:rPr>
        <w:t>采购项目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</w:rPr>
        <w:t>项目编号：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邻中医自采[202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]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>14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号</w:t>
      </w:r>
    </w:p>
    <w:tbl>
      <w:tblPr>
        <w:tblStyle w:val="8"/>
        <w:tblW w:w="51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2490"/>
        <w:gridCol w:w="480"/>
        <w:gridCol w:w="420"/>
        <w:gridCol w:w="1380"/>
        <w:gridCol w:w="34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317" w:type="pct"/>
            <w:vMerge w:val="restart"/>
            <w:vAlign w:val="center"/>
          </w:tcPr>
          <w:p>
            <w:pPr>
              <w:spacing w:line="360" w:lineRule="atLeast"/>
              <w:ind w:firstLine="0" w:firstLineChars="0"/>
              <w:outlineLvl w:val="1"/>
            </w:pPr>
            <w:r>
              <w:rPr>
                <w:rFonts w:hint="eastAsia"/>
              </w:rPr>
              <w:t>序号</w:t>
            </w:r>
          </w:p>
        </w:tc>
        <w:tc>
          <w:tcPr>
            <w:tcW w:w="1415" w:type="pct"/>
            <w:vMerge w:val="restart"/>
            <w:vAlign w:val="center"/>
          </w:tcPr>
          <w:p>
            <w:pPr>
              <w:spacing w:line="360" w:lineRule="atLeast"/>
              <w:ind w:firstLine="0" w:firstLineChars="0"/>
              <w:jc w:val="center"/>
              <w:outlineLvl w:val="1"/>
            </w:pPr>
            <w:r>
              <w:rPr>
                <w:rFonts w:hint="eastAsia"/>
              </w:rPr>
              <w:t>名称</w:t>
            </w:r>
          </w:p>
        </w:tc>
        <w:tc>
          <w:tcPr>
            <w:tcW w:w="272" w:type="pct"/>
            <w:vMerge w:val="restart"/>
            <w:vAlign w:val="center"/>
          </w:tcPr>
          <w:p>
            <w:pPr>
              <w:spacing w:line="360" w:lineRule="atLeast"/>
              <w:ind w:firstLine="0" w:firstLineChars="0"/>
              <w:jc w:val="center"/>
              <w:outlineLvl w:val="1"/>
            </w:pPr>
            <w:r>
              <w:rPr>
                <w:rFonts w:hint="eastAsia"/>
              </w:rPr>
              <w:t>数量</w:t>
            </w:r>
          </w:p>
        </w:tc>
        <w:tc>
          <w:tcPr>
            <w:tcW w:w="238" w:type="pct"/>
            <w:vMerge w:val="restart"/>
            <w:vAlign w:val="center"/>
          </w:tcPr>
          <w:p>
            <w:pPr>
              <w:spacing w:line="360" w:lineRule="atLeast"/>
              <w:ind w:firstLine="0" w:firstLineChars="0"/>
              <w:jc w:val="center"/>
              <w:outlineLvl w:val="1"/>
            </w:pPr>
            <w:r>
              <w:rPr>
                <w:rFonts w:hint="eastAsia"/>
              </w:rPr>
              <w:t>单位</w:t>
            </w:r>
          </w:p>
        </w:tc>
        <w:tc>
          <w:tcPr>
            <w:tcW w:w="784" w:type="pct"/>
            <w:vMerge w:val="restart"/>
            <w:vAlign w:val="center"/>
          </w:tcPr>
          <w:p>
            <w:pPr>
              <w:spacing w:line="360" w:lineRule="atLeast"/>
              <w:ind w:firstLine="0" w:firstLineChars="0"/>
              <w:jc w:val="center"/>
              <w:outlineLvl w:val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总</w:t>
            </w:r>
            <w:r>
              <w:rPr>
                <w:rFonts w:hint="eastAsia"/>
              </w:rPr>
              <w:t>报价</w:t>
            </w:r>
          </w:p>
          <w:p>
            <w:pPr>
              <w:spacing w:line="360" w:lineRule="atLeast"/>
              <w:ind w:firstLine="0" w:firstLineChars="0"/>
              <w:jc w:val="center"/>
              <w:outlineLvl w:val="1"/>
            </w:pPr>
            <w:r>
              <w:rPr>
                <w:rFonts w:hint="eastAsia"/>
              </w:rPr>
              <w:t>（元）</w:t>
            </w:r>
          </w:p>
        </w:tc>
        <w:tc>
          <w:tcPr>
            <w:tcW w:w="1971" w:type="pct"/>
            <w:vMerge w:val="restart"/>
            <w:vAlign w:val="center"/>
          </w:tcPr>
          <w:p>
            <w:pPr>
              <w:spacing w:line="360" w:lineRule="atLeast"/>
              <w:ind w:left="-8" w:leftChars="-4" w:firstLine="73" w:firstLineChars="35"/>
              <w:jc w:val="center"/>
              <w:outlineLvl w:val="1"/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317" w:type="pct"/>
            <w:vMerge w:val="continue"/>
            <w:vAlign w:val="center"/>
          </w:tcPr>
          <w:p>
            <w:pPr>
              <w:spacing w:line="360" w:lineRule="atLeast"/>
              <w:ind w:firstLine="480"/>
              <w:jc w:val="center"/>
              <w:outlineLvl w:val="1"/>
            </w:pPr>
          </w:p>
        </w:tc>
        <w:tc>
          <w:tcPr>
            <w:tcW w:w="1415" w:type="pct"/>
            <w:vMerge w:val="continue"/>
            <w:vAlign w:val="center"/>
          </w:tcPr>
          <w:p>
            <w:pPr>
              <w:spacing w:line="360" w:lineRule="atLeast"/>
              <w:ind w:firstLine="480"/>
              <w:jc w:val="center"/>
              <w:outlineLvl w:val="1"/>
            </w:pPr>
          </w:p>
        </w:tc>
        <w:tc>
          <w:tcPr>
            <w:tcW w:w="272" w:type="pct"/>
            <w:vMerge w:val="continue"/>
            <w:vAlign w:val="center"/>
          </w:tcPr>
          <w:p>
            <w:pPr>
              <w:spacing w:line="360" w:lineRule="atLeast"/>
              <w:ind w:firstLine="480"/>
              <w:jc w:val="center"/>
              <w:outlineLvl w:val="1"/>
            </w:pPr>
          </w:p>
        </w:tc>
        <w:tc>
          <w:tcPr>
            <w:tcW w:w="238" w:type="pct"/>
            <w:vMerge w:val="continue"/>
            <w:vAlign w:val="center"/>
          </w:tcPr>
          <w:p>
            <w:pPr>
              <w:spacing w:line="360" w:lineRule="atLeast"/>
              <w:ind w:firstLine="480"/>
              <w:jc w:val="center"/>
              <w:outlineLvl w:val="1"/>
            </w:pPr>
          </w:p>
        </w:tc>
        <w:tc>
          <w:tcPr>
            <w:tcW w:w="784" w:type="pct"/>
            <w:vMerge w:val="continue"/>
            <w:vAlign w:val="center"/>
          </w:tcPr>
          <w:p>
            <w:pPr>
              <w:spacing w:line="360" w:lineRule="atLeast"/>
              <w:ind w:firstLine="480"/>
              <w:jc w:val="center"/>
              <w:outlineLvl w:val="1"/>
            </w:pPr>
          </w:p>
        </w:tc>
        <w:tc>
          <w:tcPr>
            <w:tcW w:w="1971" w:type="pct"/>
            <w:vMerge w:val="continue"/>
            <w:vAlign w:val="center"/>
          </w:tcPr>
          <w:p>
            <w:pPr>
              <w:spacing w:line="360" w:lineRule="atLeast"/>
              <w:ind w:firstLine="480"/>
              <w:jc w:val="center"/>
              <w:outlineLvl w:val="1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317" w:type="pct"/>
            <w:vAlign w:val="center"/>
          </w:tcPr>
          <w:p>
            <w:pPr>
              <w:spacing w:line="360" w:lineRule="atLeast"/>
              <w:ind w:left="0" w:leftChars="0" w:firstLine="210" w:firstLineChars="100"/>
              <w:jc w:val="both"/>
              <w:outlineLvl w:val="1"/>
            </w:pPr>
            <w:r>
              <w:rPr>
                <w:rFonts w:hint="eastAsia"/>
              </w:rPr>
              <w:t>1</w:t>
            </w:r>
          </w:p>
        </w:tc>
        <w:tc>
          <w:tcPr>
            <w:tcW w:w="1415" w:type="pct"/>
            <w:vAlign w:val="center"/>
          </w:tcPr>
          <w:p>
            <w:pPr>
              <w:spacing w:line="360" w:lineRule="atLeast"/>
              <w:ind w:firstLine="0" w:firstLineChars="0"/>
              <w:jc w:val="center"/>
              <w:outlineLvl w:val="1"/>
              <w:rPr>
                <w:rFonts w:hint="default"/>
                <w:lang w:val="en-US"/>
              </w:rPr>
            </w:pPr>
            <w:r>
              <w:rPr>
                <w:rFonts w:hint="eastAsia" w:ascii="仿宋_GB2312" w:hAnsi="仿宋_GB2312" w:eastAsia="仿宋_GB2312" w:cs="仿宋"/>
                <w:lang w:eastAsia="zh-CN"/>
              </w:rPr>
              <w:t>邻水县中医医院已</w:t>
            </w:r>
            <w:r>
              <w:rPr>
                <w:rFonts w:hint="eastAsia" w:ascii="仿宋_GB2312" w:hAnsi="仿宋_GB2312" w:eastAsia="仿宋_GB2312" w:cs="仿宋"/>
                <w:color w:val="0000FF"/>
                <w:lang w:val="en-US" w:eastAsia="zh-CN"/>
              </w:rPr>
              <w:t>报废国有资产处置服务</w:t>
            </w:r>
          </w:p>
        </w:tc>
        <w:tc>
          <w:tcPr>
            <w:tcW w:w="272" w:type="pct"/>
            <w:vAlign w:val="center"/>
          </w:tcPr>
          <w:p>
            <w:pPr>
              <w:spacing w:line="360" w:lineRule="atLeast"/>
              <w:outlineLvl w:val="1"/>
              <w:rPr>
                <w:rFonts w:hint="default" w:ascii="仿宋_GB2312" w:hAnsi="仿宋_GB2312" w:eastAsia="仿宋_GB2312" w:cs="仿宋"/>
                <w:lang w:val="en-US" w:eastAsia="zh-CN"/>
              </w:rPr>
            </w:pPr>
            <w:r>
              <w:rPr>
                <w:rFonts w:hint="eastAsia" w:ascii="仿宋_GB2312" w:hAnsi="仿宋_GB2312" w:eastAsia="仿宋_GB2312" w:cs="仿宋"/>
                <w:lang w:val="en-US" w:eastAsia="zh-CN"/>
              </w:rPr>
              <w:t>1</w:t>
            </w:r>
          </w:p>
        </w:tc>
        <w:tc>
          <w:tcPr>
            <w:tcW w:w="238" w:type="pct"/>
            <w:vAlign w:val="center"/>
          </w:tcPr>
          <w:p>
            <w:pPr>
              <w:spacing w:line="360" w:lineRule="atLeast"/>
              <w:ind w:firstLine="0" w:firstLineChars="0"/>
              <w:outlineLvl w:val="1"/>
              <w:rPr>
                <w:rFonts w:hint="eastAsia" w:ascii="仿宋_GB2312" w:hAnsi="仿宋_GB2312" w:eastAsia="仿宋_GB2312" w:cs="仿宋"/>
                <w:lang w:eastAsia="zh-CN"/>
              </w:rPr>
            </w:pPr>
            <w:r>
              <w:rPr>
                <w:rFonts w:hint="eastAsia" w:ascii="仿宋_GB2312" w:hAnsi="仿宋_GB2312" w:eastAsia="仿宋_GB2312" w:cs="仿宋"/>
                <w:lang w:val="en-US" w:eastAsia="zh-CN"/>
              </w:rPr>
              <w:t>项</w:t>
            </w:r>
          </w:p>
        </w:tc>
        <w:tc>
          <w:tcPr>
            <w:tcW w:w="784" w:type="pct"/>
            <w:vAlign w:val="center"/>
          </w:tcPr>
          <w:p>
            <w:pPr>
              <w:spacing w:line="360" w:lineRule="atLeast"/>
              <w:ind w:firstLine="480"/>
              <w:outlineLvl w:val="1"/>
            </w:pPr>
          </w:p>
        </w:tc>
        <w:tc>
          <w:tcPr>
            <w:tcW w:w="1971" w:type="pct"/>
            <w:vAlign w:val="center"/>
          </w:tcPr>
          <w:p>
            <w:pPr>
              <w:spacing w:line="360" w:lineRule="atLeast"/>
              <w:jc w:val="both"/>
              <w:outlineLvl w:val="1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仿宋_GB2312" w:hAnsi="仿宋_GB2312" w:eastAsia="仿宋_GB2312" w:cs="仿宋"/>
              </w:rPr>
              <w:t>大写</w:t>
            </w:r>
            <w:r>
              <w:rPr>
                <w:rFonts w:hint="eastAsia" w:ascii="仿宋_GB2312" w:hAnsi="仿宋_GB2312" w:eastAsia="仿宋_GB2312" w:cs="仿宋"/>
                <w:lang w:eastAsia="zh-CN"/>
              </w:rPr>
              <w:t>：</w:t>
            </w:r>
          </w:p>
        </w:tc>
      </w:tr>
    </w:tbl>
    <w:p>
      <w:pPr>
        <w:snapToGrid w:val="0"/>
        <w:ind w:right="-624" w:rightChars="-297" w:firstLine="480"/>
        <w:rPr>
          <w:rFonts w:ascii="仿宋_GB2312" w:hAnsi="仿宋_GB2312" w:eastAsia="仿宋_GB2312"/>
        </w:rPr>
      </w:pPr>
    </w:p>
    <w:p>
      <w:pPr>
        <w:ind w:firstLine="480"/>
        <w:rPr>
          <w:rFonts w:ascii="仿宋_GB2312" w:hAnsi="仿宋_GB2312" w:eastAsia="仿宋_GB2312"/>
        </w:rPr>
      </w:pPr>
    </w:p>
    <w:p>
      <w:pPr>
        <w:pStyle w:val="2"/>
        <w:rPr>
          <w:rFonts w:ascii="仿宋_GB2312" w:hAnsi="仿宋_GB2312" w:eastAsia="仿宋_GB2312"/>
        </w:rPr>
      </w:pPr>
    </w:p>
    <w:p>
      <w:pPr>
        <w:rPr>
          <w:rFonts w:ascii="仿宋_GB2312" w:hAnsi="仿宋_GB2312" w:eastAsia="仿宋_GB2312"/>
        </w:rPr>
      </w:pPr>
    </w:p>
    <w:p>
      <w:pPr>
        <w:pStyle w:val="2"/>
      </w:pP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收购商名称（加盖公章）：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收购商地址：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法定代表人或授权代表：（签字）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>联系电话：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日期：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年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月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日</w:t>
      </w:r>
    </w:p>
    <w:p>
      <w:pPr>
        <w:ind w:firstLine="480"/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ind w:firstLine="480"/>
        <w:rPr>
          <w:rFonts w:hint="default" w:ascii="仿宋_GB2312" w:hAnsi="仿宋_GB2312" w:eastAsia="仿宋_GB2312" w:cs="仿宋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"/>
          <w:b/>
          <w:bCs/>
          <w:sz w:val="28"/>
          <w:szCs w:val="28"/>
          <w:lang w:eastAsia="zh-CN"/>
        </w:rPr>
        <w:t>附件：</w:t>
      </w:r>
      <w:r>
        <w:rPr>
          <w:rFonts w:hint="eastAsia" w:ascii="仿宋_GB2312" w:hAnsi="仿宋_GB2312" w:eastAsia="仿宋_GB2312" w:cs="仿宋"/>
          <w:b/>
          <w:bCs/>
          <w:sz w:val="28"/>
          <w:szCs w:val="28"/>
          <w:lang w:val="en-US" w:eastAsia="zh-CN"/>
        </w:rPr>
        <w:t>2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pStyle w:val="3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最终报价承诺函（第二轮）</w:t>
      </w:r>
    </w:p>
    <w:p>
      <w:pPr>
        <w:spacing w:line="420" w:lineRule="exact"/>
        <w:ind w:right="561"/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  <w:bookmarkStart w:id="0" w:name="_Toc313537922"/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>邻水县中医医院：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 我方已仔细阅读了关于“邻水县中医医院已</w:t>
      </w:r>
      <w:r>
        <w:rPr>
          <w:rFonts w:hint="eastAsia" w:ascii="仿宋_GB2312" w:hAnsi="仿宋_GB2312" w:eastAsia="仿宋_GB2312" w:cs="仿宋"/>
          <w:color w:val="0000FF"/>
          <w:sz w:val="28"/>
          <w:szCs w:val="28"/>
          <w:lang w:val="en-US" w:eastAsia="zh-CN"/>
        </w:rPr>
        <w:t>报废国有资产处置服务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项目”竞价收购公告的所有内容，并完全理解上文所表达的意思，愿意以人民币       </w:t>
      </w:r>
      <w:r>
        <w:rPr>
          <w:rFonts w:hint="eastAsia" w:ascii="仿宋_GB2312" w:hAnsi="仿宋_GB2312" w:eastAsia="仿宋_GB2312" w:cs="仿宋"/>
          <w:color w:val="C00000"/>
          <w:sz w:val="28"/>
          <w:szCs w:val="28"/>
          <w:lang w:val="en-US" w:eastAsia="zh-CN"/>
        </w:rPr>
        <w:t>元（大写                 ）的总报价收购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>，我方承诺完全遵守贵单位关于本次竞价收购的所有规定。</w:t>
      </w:r>
      <w:bookmarkEnd w:id="0"/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cr/>
      </w: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收购商名称（加盖公章）：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收购商地址：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法定代表人或授权代表：（签字）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>联系电话：</w:t>
      </w:r>
    </w:p>
    <w:p>
      <w:pPr>
        <w:rPr>
          <w:rFonts w:hint="eastAsia" w:ascii="仿宋_GB2312" w:hAnsi="仿宋_GB2312" w:eastAsia="仿宋_GB2312" w:cs="仿宋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日期：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年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月</w:t>
      </w:r>
      <w:r>
        <w:rPr>
          <w:rFonts w:hint="eastAsia" w:ascii="仿宋_GB2312" w:hAnsi="仿宋_GB2312" w:eastAsia="仿宋_GB2312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"/>
          <w:sz w:val="28"/>
          <w:szCs w:val="28"/>
          <w:lang w:eastAsia="zh-CN"/>
        </w:rPr>
        <w:t>日</w:t>
      </w:r>
    </w:p>
    <w:p>
      <w:pPr>
        <w:ind w:firstLine="480"/>
        <w:rPr>
          <w:rFonts w:hint="eastAsia" w:ascii="仿宋_GB2312" w:hAnsi="仿宋_GB2312" w:eastAsia="仿宋_GB2312" w:cs="仿宋"/>
          <w:b/>
          <w:bCs/>
          <w:sz w:val="28"/>
          <w:szCs w:val="28"/>
          <w:lang w:eastAsia="zh-CN"/>
        </w:rPr>
      </w:pPr>
    </w:p>
    <w:p>
      <w:pPr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wY2MwNzEyOGI4MjM5ZTNhNDMzYzk5MDE3MTE4Y2YifQ=="/>
  </w:docVars>
  <w:rsids>
    <w:rsidRoot w:val="00000000"/>
    <w:rsid w:val="00360E24"/>
    <w:rsid w:val="00E169A2"/>
    <w:rsid w:val="00F72CA9"/>
    <w:rsid w:val="01A00C4B"/>
    <w:rsid w:val="01B110AA"/>
    <w:rsid w:val="029702A0"/>
    <w:rsid w:val="037249A6"/>
    <w:rsid w:val="038E7C18"/>
    <w:rsid w:val="0448278D"/>
    <w:rsid w:val="068B011B"/>
    <w:rsid w:val="07577598"/>
    <w:rsid w:val="081D63AB"/>
    <w:rsid w:val="08585DDB"/>
    <w:rsid w:val="08AC25CB"/>
    <w:rsid w:val="08E43B13"/>
    <w:rsid w:val="09304FAA"/>
    <w:rsid w:val="09C503A7"/>
    <w:rsid w:val="0A4A2E80"/>
    <w:rsid w:val="0A8C7FBE"/>
    <w:rsid w:val="0A9609F1"/>
    <w:rsid w:val="0B410FB8"/>
    <w:rsid w:val="0B530F8E"/>
    <w:rsid w:val="0B666A61"/>
    <w:rsid w:val="0B6C59CC"/>
    <w:rsid w:val="0C070E5A"/>
    <w:rsid w:val="0DB2084D"/>
    <w:rsid w:val="0E16704A"/>
    <w:rsid w:val="0E285928"/>
    <w:rsid w:val="0ED10695"/>
    <w:rsid w:val="0F087E2F"/>
    <w:rsid w:val="0F1F58A5"/>
    <w:rsid w:val="0FAF1C59"/>
    <w:rsid w:val="0FD85A54"/>
    <w:rsid w:val="10B4047E"/>
    <w:rsid w:val="1173012A"/>
    <w:rsid w:val="11AA3420"/>
    <w:rsid w:val="12444C75"/>
    <w:rsid w:val="12D544CC"/>
    <w:rsid w:val="13171183"/>
    <w:rsid w:val="13857CA0"/>
    <w:rsid w:val="14A446ED"/>
    <w:rsid w:val="15393438"/>
    <w:rsid w:val="15916DD0"/>
    <w:rsid w:val="177B1AE6"/>
    <w:rsid w:val="188E3A9B"/>
    <w:rsid w:val="1A0743F1"/>
    <w:rsid w:val="1A0D279E"/>
    <w:rsid w:val="1D646B79"/>
    <w:rsid w:val="1DFE6FCD"/>
    <w:rsid w:val="1E4F5A7B"/>
    <w:rsid w:val="1E9B2A6E"/>
    <w:rsid w:val="1F1A11F0"/>
    <w:rsid w:val="1F35446D"/>
    <w:rsid w:val="205B4263"/>
    <w:rsid w:val="213E00A0"/>
    <w:rsid w:val="21C50E22"/>
    <w:rsid w:val="22032E04"/>
    <w:rsid w:val="22414853"/>
    <w:rsid w:val="22E451DA"/>
    <w:rsid w:val="234B6811"/>
    <w:rsid w:val="238E182E"/>
    <w:rsid w:val="24885842"/>
    <w:rsid w:val="249E5222"/>
    <w:rsid w:val="24BC54EC"/>
    <w:rsid w:val="261A696E"/>
    <w:rsid w:val="269E134D"/>
    <w:rsid w:val="279A7D67"/>
    <w:rsid w:val="27F701F8"/>
    <w:rsid w:val="27FA43FD"/>
    <w:rsid w:val="28DC7F0B"/>
    <w:rsid w:val="29916F47"/>
    <w:rsid w:val="2A44045E"/>
    <w:rsid w:val="2BEA293F"/>
    <w:rsid w:val="2C550700"/>
    <w:rsid w:val="2C7D25CF"/>
    <w:rsid w:val="2CAB0320"/>
    <w:rsid w:val="2D6C3F53"/>
    <w:rsid w:val="2D8217E5"/>
    <w:rsid w:val="2D882104"/>
    <w:rsid w:val="2F0401BB"/>
    <w:rsid w:val="2F971030"/>
    <w:rsid w:val="302723B3"/>
    <w:rsid w:val="30626BBF"/>
    <w:rsid w:val="3207249C"/>
    <w:rsid w:val="32827A11"/>
    <w:rsid w:val="3291620A"/>
    <w:rsid w:val="334E4071"/>
    <w:rsid w:val="33C5616B"/>
    <w:rsid w:val="345028D5"/>
    <w:rsid w:val="35555E73"/>
    <w:rsid w:val="355D23D3"/>
    <w:rsid w:val="36A95091"/>
    <w:rsid w:val="36B64491"/>
    <w:rsid w:val="36F56D67"/>
    <w:rsid w:val="37503F9E"/>
    <w:rsid w:val="3805122C"/>
    <w:rsid w:val="380A6843"/>
    <w:rsid w:val="38693D0F"/>
    <w:rsid w:val="38AF615D"/>
    <w:rsid w:val="39113C01"/>
    <w:rsid w:val="397A79F8"/>
    <w:rsid w:val="3A8521B0"/>
    <w:rsid w:val="3B2531E8"/>
    <w:rsid w:val="3B8E20DC"/>
    <w:rsid w:val="3B9F11AA"/>
    <w:rsid w:val="3BF515B8"/>
    <w:rsid w:val="3DF864C6"/>
    <w:rsid w:val="3E2241BA"/>
    <w:rsid w:val="3E2717D1"/>
    <w:rsid w:val="3E972ED3"/>
    <w:rsid w:val="3EF026E4"/>
    <w:rsid w:val="3F033FEC"/>
    <w:rsid w:val="40093884"/>
    <w:rsid w:val="410F4ECA"/>
    <w:rsid w:val="41200E85"/>
    <w:rsid w:val="41362456"/>
    <w:rsid w:val="413E57AF"/>
    <w:rsid w:val="425F59DD"/>
    <w:rsid w:val="42AB7027"/>
    <w:rsid w:val="431410C0"/>
    <w:rsid w:val="43F65857"/>
    <w:rsid w:val="45F11042"/>
    <w:rsid w:val="45F8417E"/>
    <w:rsid w:val="463E2ADB"/>
    <w:rsid w:val="46544EA3"/>
    <w:rsid w:val="467B6B5D"/>
    <w:rsid w:val="47703296"/>
    <w:rsid w:val="48912EFC"/>
    <w:rsid w:val="490E45E6"/>
    <w:rsid w:val="49A85EBB"/>
    <w:rsid w:val="49C56B17"/>
    <w:rsid w:val="4A69389D"/>
    <w:rsid w:val="4AA27D8E"/>
    <w:rsid w:val="4BBE1169"/>
    <w:rsid w:val="4C261B7E"/>
    <w:rsid w:val="4C765194"/>
    <w:rsid w:val="4D135D42"/>
    <w:rsid w:val="4DCA6FFB"/>
    <w:rsid w:val="50964CC0"/>
    <w:rsid w:val="51025FDC"/>
    <w:rsid w:val="51FE5B83"/>
    <w:rsid w:val="52322F44"/>
    <w:rsid w:val="5285323E"/>
    <w:rsid w:val="52923265"/>
    <w:rsid w:val="530E3233"/>
    <w:rsid w:val="536C7F5A"/>
    <w:rsid w:val="55E20F62"/>
    <w:rsid w:val="55F901E6"/>
    <w:rsid w:val="57113271"/>
    <w:rsid w:val="571406EC"/>
    <w:rsid w:val="582232DD"/>
    <w:rsid w:val="58975A79"/>
    <w:rsid w:val="58A43CF2"/>
    <w:rsid w:val="590F3861"/>
    <w:rsid w:val="591744C4"/>
    <w:rsid w:val="59451C63"/>
    <w:rsid w:val="5A094754"/>
    <w:rsid w:val="5A9A35FE"/>
    <w:rsid w:val="5B060C94"/>
    <w:rsid w:val="5CBE3189"/>
    <w:rsid w:val="5CD56B70"/>
    <w:rsid w:val="5EBA426F"/>
    <w:rsid w:val="5EFB054D"/>
    <w:rsid w:val="5FF3438A"/>
    <w:rsid w:val="60263C35"/>
    <w:rsid w:val="603D0854"/>
    <w:rsid w:val="6042451C"/>
    <w:rsid w:val="604C0EF7"/>
    <w:rsid w:val="60600E46"/>
    <w:rsid w:val="609E41BA"/>
    <w:rsid w:val="60DA02B2"/>
    <w:rsid w:val="616821AB"/>
    <w:rsid w:val="6171096B"/>
    <w:rsid w:val="61A11716"/>
    <w:rsid w:val="61E67129"/>
    <w:rsid w:val="62052050"/>
    <w:rsid w:val="62A547CD"/>
    <w:rsid w:val="64040EBB"/>
    <w:rsid w:val="64133D6A"/>
    <w:rsid w:val="64917A32"/>
    <w:rsid w:val="64F32289"/>
    <w:rsid w:val="650C50F9"/>
    <w:rsid w:val="657A272D"/>
    <w:rsid w:val="66363AD8"/>
    <w:rsid w:val="677B32F4"/>
    <w:rsid w:val="686D5EAE"/>
    <w:rsid w:val="69347C42"/>
    <w:rsid w:val="69417EED"/>
    <w:rsid w:val="699833FF"/>
    <w:rsid w:val="69CE1F9F"/>
    <w:rsid w:val="69FD7706"/>
    <w:rsid w:val="6A242EE4"/>
    <w:rsid w:val="6B013226"/>
    <w:rsid w:val="6B277EEC"/>
    <w:rsid w:val="6BC524A5"/>
    <w:rsid w:val="6C172D01"/>
    <w:rsid w:val="6C4C227F"/>
    <w:rsid w:val="6C680741"/>
    <w:rsid w:val="6CA13B6B"/>
    <w:rsid w:val="6D745F31"/>
    <w:rsid w:val="6E111DF6"/>
    <w:rsid w:val="6EB96E04"/>
    <w:rsid w:val="6F7F0AB6"/>
    <w:rsid w:val="6FEF7AF1"/>
    <w:rsid w:val="70D61C6E"/>
    <w:rsid w:val="70E909E4"/>
    <w:rsid w:val="75947F00"/>
    <w:rsid w:val="759E3FA2"/>
    <w:rsid w:val="765C1631"/>
    <w:rsid w:val="76B75A36"/>
    <w:rsid w:val="76EA3C92"/>
    <w:rsid w:val="777D3C34"/>
    <w:rsid w:val="785F3AF4"/>
    <w:rsid w:val="78C57641"/>
    <w:rsid w:val="78DE5A0E"/>
    <w:rsid w:val="790E40CB"/>
    <w:rsid w:val="79F97A41"/>
    <w:rsid w:val="7A066163"/>
    <w:rsid w:val="7A5D55A9"/>
    <w:rsid w:val="7B022DCE"/>
    <w:rsid w:val="7B0F1047"/>
    <w:rsid w:val="7B9B28DB"/>
    <w:rsid w:val="7BFE17E7"/>
    <w:rsid w:val="7C9B1DE2"/>
    <w:rsid w:val="7D56341D"/>
    <w:rsid w:val="7D8B70AB"/>
    <w:rsid w:val="7DEE683E"/>
    <w:rsid w:val="7E066731"/>
    <w:rsid w:val="7E77762F"/>
    <w:rsid w:val="7F0A57D5"/>
    <w:rsid w:val="7F16598F"/>
    <w:rsid w:val="7F19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99"/>
    <w:pPr>
      <w:widowControl w:val="0"/>
      <w:ind w:firstLine="0" w:firstLineChars="0"/>
      <w:jc w:val="center"/>
      <w:outlineLvl w:val="1"/>
    </w:pPr>
    <w:rPr>
      <w:rFonts w:cs="Arial"/>
      <w:b/>
      <w:bCs/>
      <w:kern w:val="2"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styleId="4">
    <w:name w:val="Body Text Indent"/>
    <w:basedOn w:val="1"/>
    <w:autoRedefine/>
    <w:qFormat/>
    <w:uiPriority w:val="0"/>
    <w:pPr>
      <w:ind w:firstLine="630"/>
    </w:pPr>
    <w:rPr>
      <w:sz w:val="32"/>
      <w:szCs w:val="20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333333"/>
      <w:u w:val="none"/>
    </w:rPr>
  </w:style>
  <w:style w:type="character" w:styleId="13">
    <w:name w:val="Emphasis"/>
    <w:basedOn w:val="10"/>
    <w:autoRedefine/>
    <w:qFormat/>
    <w:uiPriority w:val="0"/>
    <w:rPr>
      <w:i/>
    </w:rPr>
  </w:style>
  <w:style w:type="character" w:styleId="14">
    <w:name w:val="HTML Acronym"/>
    <w:basedOn w:val="10"/>
    <w:autoRedefine/>
    <w:qFormat/>
    <w:uiPriority w:val="0"/>
  </w:style>
  <w:style w:type="character" w:styleId="15">
    <w:name w:val="Hyperlink"/>
    <w:basedOn w:val="10"/>
    <w:autoRedefine/>
    <w:qFormat/>
    <w:uiPriority w:val="0"/>
    <w:rPr>
      <w:color w:val="333333"/>
      <w:u w:val="none"/>
    </w:rPr>
  </w:style>
  <w:style w:type="paragraph" w:customStyle="1" w:styleId="16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paragraph" w:customStyle="1" w:styleId="17">
    <w:name w:val="Body text|1"/>
    <w:basedOn w:val="1"/>
    <w:autoRedefine/>
    <w:qFormat/>
    <w:uiPriority w:val="0"/>
    <w:pPr>
      <w:widowControl w:val="0"/>
      <w:shd w:val="clear" w:color="auto" w:fill="auto"/>
      <w:spacing w:line="326" w:lineRule="auto"/>
      <w:ind w:firstLine="40"/>
    </w:pPr>
    <w:rPr>
      <w:rFonts w:ascii="宋体" w:hAnsi="宋体" w:eastAsia="宋体" w:cs="宋体"/>
      <w:color w:val="70716C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18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character" w:customStyle="1" w:styleId="19">
    <w:name w:val="hover"/>
    <w:basedOn w:val="10"/>
    <w:autoRedefine/>
    <w:qFormat/>
    <w:uiPriority w:val="0"/>
    <w:rPr>
      <w:b/>
      <w:bCs/>
      <w:shd w:val="clear" w:fill="0090D4"/>
    </w:rPr>
  </w:style>
  <w:style w:type="character" w:customStyle="1" w:styleId="20">
    <w:name w:val="pic"/>
    <w:basedOn w:val="10"/>
    <w:autoRedefine/>
    <w:qFormat/>
    <w:uiPriority w:val="0"/>
  </w:style>
  <w:style w:type="character" w:customStyle="1" w:styleId="21">
    <w:name w:val="txt"/>
    <w:basedOn w:val="10"/>
    <w:autoRedefine/>
    <w:qFormat/>
    <w:uiPriority w:val="0"/>
  </w:style>
  <w:style w:type="character" w:customStyle="1" w:styleId="22">
    <w:name w:val="icon-35-new"/>
    <w:basedOn w:val="10"/>
    <w:autoRedefine/>
    <w:qFormat/>
    <w:uiPriority w:val="0"/>
  </w:style>
  <w:style w:type="paragraph" w:customStyle="1" w:styleId="23">
    <w:name w:val="正文缩进2格"/>
    <w:basedOn w:val="1"/>
    <w:autoRedefine/>
    <w:qFormat/>
    <w:uiPriority w:val="0"/>
    <w:pPr>
      <w:spacing w:line="600" w:lineRule="exact"/>
      <w:ind w:firstLine="639" w:firstLineChars="206"/>
    </w:pPr>
    <w:rPr>
      <w:rFonts w:ascii="仿宋_GB2312" w:hAnsi="宋体" w:eastAsia="仿宋_GB2312"/>
      <w:sz w:val="31"/>
      <w:szCs w:val="28"/>
    </w:rPr>
  </w:style>
  <w:style w:type="character" w:customStyle="1" w:styleId="24">
    <w:name w:val="tl"/>
    <w:basedOn w:val="10"/>
    <w:autoRedefine/>
    <w:qFormat/>
    <w:uiPriority w:val="0"/>
  </w:style>
  <w:style w:type="character" w:customStyle="1" w:styleId="25">
    <w:name w:val="red2"/>
    <w:basedOn w:val="10"/>
    <w:autoRedefine/>
    <w:qFormat/>
    <w:uiPriority w:val="0"/>
    <w:rPr>
      <w:color w:val="FF0000"/>
    </w:rPr>
  </w:style>
  <w:style w:type="character" w:customStyle="1" w:styleId="26">
    <w:name w:val="nr"/>
    <w:basedOn w:val="10"/>
    <w:autoRedefine/>
    <w:qFormat/>
    <w:uiPriority w:val="0"/>
  </w:style>
  <w:style w:type="character" w:customStyle="1" w:styleId="27">
    <w:name w:val="hit"/>
    <w:basedOn w:val="10"/>
    <w:autoRedefine/>
    <w:qFormat/>
    <w:uiPriority w:val="0"/>
  </w:style>
  <w:style w:type="character" w:customStyle="1" w:styleId="28">
    <w:name w:val="msg-box16"/>
    <w:basedOn w:val="10"/>
    <w:autoRedefine/>
    <w:qFormat/>
    <w:uiPriority w:val="0"/>
  </w:style>
  <w:style w:type="character" w:customStyle="1" w:styleId="29">
    <w:name w:val="note-content"/>
    <w:basedOn w:val="10"/>
    <w:autoRedefine/>
    <w:qFormat/>
    <w:uiPriority w:val="0"/>
  </w:style>
  <w:style w:type="character" w:customStyle="1" w:styleId="30">
    <w:name w:val="note-content1"/>
    <w:basedOn w:val="10"/>
    <w:autoRedefine/>
    <w:qFormat/>
    <w:uiPriority w:val="0"/>
    <w:rPr>
      <w:color w:val="333333"/>
    </w:rPr>
  </w:style>
  <w:style w:type="character" w:customStyle="1" w:styleId="31">
    <w:name w:val="tr"/>
    <w:basedOn w:val="10"/>
    <w:autoRedefine/>
    <w:qFormat/>
    <w:uiPriority w:val="0"/>
  </w:style>
  <w:style w:type="character" w:customStyle="1" w:styleId="32">
    <w:name w:val="bt"/>
    <w:basedOn w:val="10"/>
    <w:autoRedefine/>
    <w:qFormat/>
    <w:uiPriority w:val="0"/>
    <w:rPr>
      <w:color w:val="FFFFFF"/>
      <w:sz w:val="16"/>
      <w:szCs w:val="16"/>
      <w:shd w:val="clear" w:fill="1480C1"/>
    </w:rPr>
  </w:style>
  <w:style w:type="character" w:customStyle="1" w:styleId="33">
    <w:name w:val="c1"/>
    <w:basedOn w:val="10"/>
    <w:autoRedefine/>
    <w:qFormat/>
    <w:uiPriority w:val="0"/>
  </w:style>
  <w:style w:type="character" w:customStyle="1" w:styleId="34">
    <w:name w:val="tit2"/>
    <w:basedOn w:val="10"/>
    <w:autoRedefine/>
    <w:qFormat/>
    <w:uiPriority w:val="0"/>
    <w:rPr>
      <w:b/>
      <w:bCs/>
      <w:color w:val="FFFFFF"/>
      <w:sz w:val="16"/>
      <w:szCs w:val="16"/>
    </w:rPr>
  </w:style>
  <w:style w:type="character" w:customStyle="1" w:styleId="35">
    <w:name w:val="tit3"/>
    <w:basedOn w:val="10"/>
    <w:autoRedefine/>
    <w:qFormat/>
    <w:uiPriority w:val="0"/>
    <w:rPr>
      <w:b/>
      <w:bCs/>
      <w:color w:val="DD0000"/>
    </w:rPr>
  </w:style>
  <w:style w:type="character" w:customStyle="1" w:styleId="36">
    <w:name w:val="c2"/>
    <w:basedOn w:val="10"/>
    <w:autoRedefine/>
    <w:qFormat/>
    <w:uiPriority w:val="0"/>
  </w:style>
  <w:style w:type="character" w:customStyle="1" w:styleId="37">
    <w:name w:val="right2"/>
    <w:basedOn w:val="10"/>
    <w:autoRedefine/>
    <w:qFormat/>
    <w:uiPriority w:val="0"/>
    <w:rPr>
      <w:color w:val="A1A1A1"/>
    </w:rPr>
  </w:style>
  <w:style w:type="character" w:customStyle="1" w:styleId="38">
    <w:name w:val="c3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1712</Words>
  <Characters>1819</Characters>
  <Lines>0</Lines>
  <Paragraphs>0</Paragraphs>
  <TotalTime>114</TotalTime>
  <ScaleCrop>false</ScaleCrop>
  <LinksUpToDate>false</LinksUpToDate>
  <CharactersWithSpaces>1997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WPS_1695193477</cp:lastModifiedBy>
  <cp:lastPrinted>2024-05-20T02:14:53Z</cp:lastPrinted>
  <dcterms:modified xsi:type="dcterms:W3CDTF">2024-05-20T08:24:10Z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D030F4BC1E0D4A928ABABC3CB5B6C57C_13</vt:lpwstr>
  </property>
</Properties>
</file>