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C3C34">
      <w:pPr>
        <w:pageBreakBefore w:val="0"/>
        <w:widowControl w:val="0"/>
        <w:shd w:val="clear"/>
        <w:kinsoku/>
        <w:wordWrap/>
        <w:overflowPunct/>
        <w:topLinePunct w:val="0"/>
        <w:autoSpaceDE/>
        <w:autoSpaceDN/>
        <w:bidi w:val="0"/>
        <w:adjustRightInd/>
        <w:spacing w:line="360" w:lineRule="auto"/>
        <w:jc w:val="left"/>
        <w:textAlignment w:val="auto"/>
        <w:rPr>
          <w:rFonts w:hint="default" w:ascii="宋体" w:hAnsi="宋体" w:eastAsia="宋体" w:cs="宋体"/>
          <w:b/>
          <w:bCs/>
          <w:color w:val="auto"/>
          <w:kern w:val="2"/>
          <w:sz w:val="24"/>
          <w:szCs w:val="24"/>
          <w:highlight w:val="none"/>
          <w:lang w:val="en-US" w:eastAsia="zh-CN"/>
        </w:rPr>
      </w:pPr>
      <w:r>
        <w:rPr>
          <w:rFonts w:hint="eastAsia" w:hAnsi="宋体" w:cs="宋体"/>
          <w:b/>
          <w:bCs/>
          <w:color w:val="auto"/>
          <w:kern w:val="2"/>
          <w:sz w:val="24"/>
          <w:szCs w:val="24"/>
          <w:highlight w:val="none"/>
          <w:lang w:val="en-US" w:eastAsia="zh-CN"/>
        </w:rPr>
        <w:t>附件一：评分标准</w:t>
      </w:r>
    </w:p>
    <w:tbl>
      <w:tblPr>
        <w:tblStyle w:val="3"/>
        <w:tblW w:w="5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990"/>
        <w:gridCol w:w="988"/>
        <w:gridCol w:w="5068"/>
        <w:gridCol w:w="2155"/>
      </w:tblGrid>
      <w:tr w14:paraId="573B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63" w:type="pct"/>
            <w:noWrap/>
            <w:vAlign w:val="center"/>
          </w:tcPr>
          <w:p w14:paraId="3F9EEFD6">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24"/>
                <w:szCs w:val="24"/>
                <w:highlight w:val="none"/>
              </w:rPr>
            </w:pPr>
          </w:p>
        </w:tc>
        <w:tc>
          <w:tcPr>
            <w:tcW w:w="509" w:type="pct"/>
            <w:noWrap/>
            <w:vAlign w:val="center"/>
          </w:tcPr>
          <w:p w14:paraId="0223F0F2">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评分因素及权重</w:t>
            </w:r>
          </w:p>
        </w:tc>
        <w:tc>
          <w:tcPr>
            <w:tcW w:w="508" w:type="pct"/>
            <w:noWrap/>
            <w:vAlign w:val="center"/>
          </w:tcPr>
          <w:p w14:paraId="38D2836E">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分值</w:t>
            </w:r>
          </w:p>
        </w:tc>
        <w:tc>
          <w:tcPr>
            <w:tcW w:w="2609" w:type="pct"/>
            <w:noWrap/>
            <w:vAlign w:val="center"/>
          </w:tcPr>
          <w:p w14:paraId="6FDF780D">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评分标准</w:t>
            </w:r>
          </w:p>
        </w:tc>
        <w:tc>
          <w:tcPr>
            <w:tcW w:w="1109" w:type="pct"/>
            <w:noWrap/>
            <w:vAlign w:val="center"/>
          </w:tcPr>
          <w:p w14:paraId="6477B34A">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说明</w:t>
            </w:r>
          </w:p>
        </w:tc>
      </w:tr>
      <w:tr w14:paraId="57F6E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263" w:type="pct"/>
            <w:noWrap/>
            <w:vAlign w:val="center"/>
          </w:tcPr>
          <w:p w14:paraId="5EA543CE">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1</w:t>
            </w:r>
          </w:p>
        </w:tc>
        <w:tc>
          <w:tcPr>
            <w:tcW w:w="509" w:type="pct"/>
            <w:noWrap/>
            <w:vAlign w:val="center"/>
          </w:tcPr>
          <w:p w14:paraId="01343D76">
            <w:pPr>
              <w:pageBreakBefore w:val="0"/>
              <w:widowControl w:val="0"/>
              <w:shd w:val="clear"/>
              <w:kinsoku/>
              <w:wordWrap/>
              <w:overflowPunct/>
              <w:topLinePunct w:val="0"/>
              <w:autoSpaceDE/>
              <w:autoSpaceDN/>
              <w:bidi w:val="0"/>
              <w:adjustRightInd/>
              <w:spacing w:after="120"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ascii="宋体" w:hAnsi="宋体" w:cs="仿宋"/>
                <w:color w:val="1A1A1A"/>
                <w:kern w:val="0"/>
                <w:sz w:val="24"/>
                <w:szCs w:val="24"/>
              </w:rPr>
              <w:t>毒性中药饮片许可</w:t>
            </w:r>
            <w:r>
              <w:rPr>
                <w:rFonts w:hint="eastAsia" w:hAnsi="宋体" w:cs="仿宋"/>
                <w:color w:val="1A1A1A"/>
                <w:kern w:val="0"/>
                <w:sz w:val="24"/>
                <w:szCs w:val="24"/>
                <w:lang w:val="en-US" w:eastAsia="zh-CN"/>
              </w:rPr>
              <w:t>4%</w:t>
            </w:r>
            <w:bookmarkStart w:id="0" w:name="_GoBack"/>
            <w:bookmarkEnd w:id="0"/>
          </w:p>
        </w:tc>
        <w:tc>
          <w:tcPr>
            <w:tcW w:w="508" w:type="pct"/>
            <w:noWrap/>
            <w:vAlign w:val="center"/>
          </w:tcPr>
          <w:p w14:paraId="18A3543C">
            <w:pPr>
              <w:pageBreakBefore w:val="0"/>
              <w:widowControl w:val="0"/>
              <w:shd w:val="clear"/>
              <w:kinsoku/>
              <w:wordWrap/>
              <w:overflowPunct/>
              <w:topLinePunct w:val="0"/>
              <w:autoSpaceDE/>
              <w:autoSpaceDN/>
              <w:bidi w:val="0"/>
              <w:adjustRightInd/>
              <w:spacing w:line="360" w:lineRule="auto"/>
              <w:jc w:val="center"/>
              <w:textAlignment w:val="auto"/>
              <w:rPr>
                <w:rFonts w:hint="default" w:hAnsi="宋体" w:cs="宋体"/>
                <w:color w:val="C00000"/>
                <w:kern w:val="2"/>
                <w:sz w:val="24"/>
                <w:szCs w:val="24"/>
                <w:highlight w:val="none"/>
                <w:lang w:val="en-US" w:eastAsia="zh-CN"/>
              </w:rPr>
            </w:pPr>
            <w:r>
              <w:rPr>
                <w:rFonts w:hint="eastAsia" w:hAnsi="宋体" w:cs="宋体"/>
                <w:color w:val="C00000"/>
                <w:kern w:val="2"/>
                <w:sz w:val="24"/>
                <w:szCs w:val="24"/>
                <w:highlight w:val="none"/>
                <w:lang w:val="en-US" w:eastAsia="zh-CN"/>
              </w:rPr>
              <w:t>4分</w:t>
            </w:r>
          </w:p>
        </w:tc>
        <w:tc>
          <w:tcPr>
            <w:tcW w:w="2609" w:type="pct"/>
            <w:noWrap/>
            <w:vAlign w:val="center"/>
          </w:tcPr>
          <w:p w14:paraId="74FBAA9C">
            <w:pPr>
              <w:widowControl/>
              <w:shd w:val="clear"/>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cs="仿宋"/>
                <w:color w:val="1A1A1A"/>
                <w:kern w:val="0"/>
                <w:sz w:val="24"/>
                <w:szCs w:val="24"/>
              </w:rPr>
              <w:t>有毒性中药饮片生产（经营）许可范围得4分，无不得分。</w:t>
            </w:r>
          </w:p>
        </w:tc>
        <w:tc>
          <w:tcPr>
            <w:tcW w:w="1109" w:type="pct"/>
            <w:noWrap/>
            <w:vAlign w:val="center"/>
          </w:tcPr>
          <w:p w14:paraId="17BF64C7">
            <w:pPr>
              <w:pageBreakBefore w:val="0"/>
              <w:widowControl w:val="0"/>
              <w:shd w:val="clear"/>
              <w:kinsoku/>
              <w:wordWrap/>
              <w:overflowPunct/>
              <w:topLinePunct w:val="0"/>
              <w:autoSpaceDE/>
              <w:autoSpaceDN/>
              <w:bidi w:val="0"/>
              <w:adjustRightInd/>
              <w:spacing w:line="360" w:lineRule="auto"/>
              <w:jc w:val="center"/>
              <w:textAlignment w:val="auto"/>
              <w:rPr>
                <w:rFonts w:hint="eastAsia" w:hAnsi="宋体" w:cs="宋体"/>
                <w:color w:val="auto"/>
                <w:kern w:val="2"/>
                <w:sz w:val="24"/>
                <w:szCs w:val="24"/>
                <w:highlight w:val="none"/>
                <w:lang w:val="en-US" w:eastAsia="zh-CN"/>
              </w:rPr>
            </w:pPr>
          </w:p>
        </w:tc>
      </w:tr>
      <w:tr w14:paraId="4EF9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1" w:hRule="atLeast"/>
          <w:jc w:val="center"/>
        </w:trPr>
        <w:tc>
          <w:tcPr>
            <w:tcW w:w="263" w:type="pct"/>
            <w:noWrap/>
            <w:vAlign w:val="center"/>
          </w:tcPr>
          <w:p w14:paraId="695E3719">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eastAsia="zh-CN"/>
              </w:rPr>
            </w:pPr>
            <w:r>
              <w:rPr>
                <w:rFonts w:hint="eastAsia" w:hAnsi="宋体" w:cs="宋体"/>
                <w:color w:val="auto"/>
                <w:kern w:val="2"/>
                <w:sz w:val="24"/>
                <w:szCs w:val="24"/>
                <w:highlight w:val="none"/>
                <w:lang w:val="en-US" w:eastAsia="zh-CN"/>
              </w:rPr>
              <w:t>2</w:t>
            </w:r>
          </w:p>
        </w:tc>
        <w:tc>
          <w:tcPr>
            <w:tcW w:w="509" w:type="pct"/>
            <w:noWrap/>
            <w:vAlign w:val="center"/>
          </w:tcPr>
          <w:p w14:paraId="46689648">
            <w:pPr>
              <w:pageBreakBefore w:val="0"/>
              <w:widowControl w:val="0"/>
              <w:shd w:val="clear"/>
              <w:kinsoku/>
              <w:wordWrap/>
              <w:overflowPunct/>
              <w:topLinePunct w:val="0"/>
              <w:autoSpaceDE/>
              <w:autoSpaceDN/>
              <w:bidi w:val="0"/>
              <w:adjustRightInd/>
              <w:spacing w:after="120"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报价</w:t>
            </w:r>
            <w:r>
              <w:rPr>
                <w:rFonts w:hint="eastAsia" w:hAnsi="宋体" w:cs="宋体"/>
                <w:color w:val="C00000"/>
                <w:kern w:val="2"/>
                <w:sz w:val="24"/>
                <w:szCs w:val="24"/>
                <w:highlight w:val="none"/>
                <w:lang w:val="en-US" w:eastAsia="zh-CN"/>
              </w:rPr>
              <w:t>40</w:t>
            </w:r>
            <w:r>
              <w:rPr>
                <w:rFonts w:hint="eastAsia" w:ascii="宋体" w:hAnsi="宋体" w:eastAsia="宋体" w:cs="宋体"/>
                <w:color w:val="auto"/>
                <w:kern w:val="2"/>
                <w:sz w:val="24"/>
                <w:szCs w:val="24"/>
                <w:highlight w:val="none"/>
                <w:lang w:val="en-US" w:eastAsia="zh-CN"/>
              </w:rPr>
              <w:t>%</w:t>
            </w:r>
          </w:p>
        </w:tc>
        <w:tc>
          <w:tcPr>
            <w:tcW w:w="508" w:type="pct"/>
            <w:noWrap/>
            <w:vAlign w:val="center"/>
          </w:tcPr>
          <w:p w14:paraId="6D64B9A0">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C00000"/>
                <w:kern w:val="2"/>
                <w:sz w:val="24"/>
                <w:szCs w:val="24"/>
                <w:highlight w:val="none"/>
                <w:lang w:val="en-US" w:eastAsia="zh-CN"/>
              </w:rPr>
              <w:t>40</w:t>
            </w:r>
            <w:r>
              <w:rPr>
                <w:rFonts w:hint="eastAsia" w:ascii="宋体" w:hAnsi="宋体" w:eastAsia="宋体" w:cs="宋体"/>
                <w:color w:val="auto"/>
                <w:kern w:val="2"/>
                <w:sz w:val="24"/>
                <w:szCs w:val="24"/>
                <w:highlight w:val="none"/>
                <w:lang w:val="en-US" w:eastAsia="zh-CN"/>
              </w:rPr>
              <w:t>分</w:t>
            </w:r>
          </w:p>
        </w:tc>
        <w:tc>
          <w:tcPr>
            <w:tcW w:w="2609" w:type="pct"/>
            <w:noWrap/>
            <w:vAlign w:val="center"/>
          </w:tcPr>
          <w:p w14:paraId="54C9BDAC">
            <w:pPr>
              <w:widowControl/>
              <w:shd w:val="clear"/>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满足磋商文件要求且</w:t>
            </w:r>
            <w:r>
              <w:rPr>
                <w:rFonts w:hint="eastAsia" w:hAnsi="宋体" w:cs="宋体"/>
                <w:color w:val="auto"/>
                <w:kern w:val="0"/>
                <w:sz w:val="24"/>
                <w:szCs w:val="24"/>
                <w:highlight w:val="none"/>
                <w:lang w:val="en-US" w:eastAsia="zh-CN" w:bidi="ar-SA"/>
              </w:rPr>
              <w:t>报价最低者为单品种赋予的得分，其余报价得分=最低报价/报价*分值</w:t>
            </w:r>
            <w:r>
              <w:rPr>
                <w:rFonts w:hint="eastAsia" w:ascii="宋体" w:hAnsi="宋体" w:eastAsia="宋体" w:cs="宋体"/>
                <w:color w:val="auto"/>
                <w:kern w:val="0"/>
                <w:sz w:val="24"/>
                <w:szCs w:val="24"/>
                <w:highlight w:val="none"/>
                <w:lang w:val="en-US" w:eastAsia="zh-CN" w:bidi="ar-SA"/>
              </w:rPr>
              <w:t>，价格</w:t>
            </w:r>
            <w:r>
              <w:rPr>
                <w:rFonts w:hint="eastAsia" w:hAnsi="宋体" w:cs="宋体"/>
                <w:color w:val="auto"/>
                <w:kern w:val="0"/>
                <w:sz w:val="24"/>
                <w:szCs w:val="24"/>
                <w:highlight w:val="none"/>
                <w:lang w:val="en-US" w:eastAsia="zh-CN" w:bidi="ar-SA"/>
              </w:rPr>
              <w:t>总</w:t>
            </w:r>
            <w:r>
              <w:rPr>
                <w:rFonts w:hint="eastAsia" w:ascii="宋体" w:hAnsi="宋体" w:eastAsia="宋体" w:cs="宋体"/>
                <w:color w:val="auto"/>
                <w:kern w:val="0"/>
                <w:sz w:val="24"/>
                <w:szCs w:val="24"/>
                <w:highlight w:val="none"/>
                <w:lang w:val="en-US" w:eastAsia="zh-CN" w:bidi="ar-SA"/>
              </w:rPr>
              <w:t>分为</w:t>
            </w:r>
            <w:r>
              <w:rPr>
                <w:rFonts w:hint="eastAsia" w:hAnsi="宋体" w:cs="宋体"/>
                <w:color w:val="C00000"/>
                <w:kern w:val="0"/>
                <w:sz w:val="24"/>
                <w:szCs w:val="24"/>
                <w:highlight w:val="none"/>
                <w:lang w:val="en-US" w:eastAsia="zh-CN" w:bidi="ar-SA"/>
              </w:rPr>
              <w:t>40</w:t>
            </w:r>
            <w:r>
              <w:rPr>
                <w:rFonts w:hint="eastAsia" w:ascii="宋体" w:hAnsi="宋体" w:eastAsia="宋体" w:cs="宋体"/>
                <w:color w:val="auto"/>
                <w:kern w:val="0"/>
                <w:sz w:val="24"/>
                <w:szCs w:val="24"/>
                <w:highlight w:val="none"/>
                <w:lang w:val="en-US" w:eastAsia="zh-CN" w:bidi="ar-SA"/>
              </w:rPr>
              <w:t>分</w:t>
            </w:r>
            <w:r>
              <w:rPr>
                <w:rFonts w:hint="eastAsia" w:hAnsi="宋体" w:cs="宋体"/>
                <w:color w:val="auto"/>
                <w:kern w:val="0"/>
                <w:sz w:val="24"/>
                <w:szCs w:val="24"/>
                <w:highlight w:val="none"/>
                <w:lang w:val="en-US" w:eastAsia="zh-CN" w:bidi="ar-SA"/>
              </w:rPr>
              <w:t>。</w:t>
            </w:r>
          </w:p>
        </w:tc>
        <w:tc>
          <w:tcPr>
            <w:tcW w:w="1109" w:type="pct"/>
            <w:noWrap/>
            <w:vAlign w:val="center"/>
          </w:tcPr>
          <w:p w14:paraId="78CBADAB">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此项评分细则见附件</w:t>
            </w:r>
          </w:p>
        </w:tc>
      </w:tr>
      <w:tr w14:paraId="648E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263" w:type="pct"/>
            <w:noWrap/>
            <w:vAlign w:val="center"/>
          </w:tcPr>
          <w:p w14:paraId="58F379D1">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3</w:t>
            </w:r>
          </w:p>
        </w:tc>
        <w:tc>
          <w:tcPr>
            <w:tcW w:w="509" w:type="pct"/>
            <w:noWrap/>
            <w:vAlign w:val="center"/>
          </w:tcPr>
          <w:p w14:paraId="40841018">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履约服务能力</w:t>
            </w:r>
            <w:r>
              <w:rPr>
                <w:rFonts w:hint="eastAsia" w:hAnsi="宋体" w:cs="宋体"/>
                <w:color w:val="auto"/>
                <w:kern w:val="0"/>
                <w:sz w:val="24"/>
                <w:szCs w:val="24"/>
                <w:highlight w:val="none"/>
                <w:lang w:val="en-US" w:eastAsia="zh-CN"/>
              </w:rPr>
              <w:t>16%</w:t>
            </w:r>
          </w:p>
        </w:tc>
        <w:tc>
          <w:tcPr>
            <w:tcW w:w="508" w:type="pct"/>
            <w:noWrap/>
            <w:vAlign w:val="center"/>
          </w:tcPr>
          <w:p w14:paraId="3E013EB8">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16</w:t>
            </w:r>
            <w:r>
              <w:rPr>
                <w:rFonts w:hint="eastAsia" w:ascii="宋体" w:hAnsi="宋体" w:eastAsia="宋体" w:cs="宋体"/>
                <w:color w:val="auto"/>
                <w:kern w:val="2"/>
                <w:sz w:val="24"/>
                <w:szCs w:val="24"/>
                <w:highlight w:val="none"/>
                <w:lang w:val="en-US" w:eastAsia="zh-CN"/>
              </w:rPr>
              <w:t>分</w:t>
            </w:r>
          </w:p>
        </w:tc>
        <w:tc>
          <w:tcPr>
            <w:tcW w:w="2609" w:type="pct"/>
            <w:noWrap/>
            <w:vAlign w:val="center"/>
          </w:tcPr>
          <w:p w14:paraId="1B3F492A">
            <w:pPr>
              <w:widowControl w:val="0"/>
              <w:numPr>
                <w:ilvl w:val="0"/>
                <w:numId w:val="0"/>
              </w:numPr>
              <w:shd w:val="clear"/>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rPr>
              <w:t>供应商在</w:t>
            </w:r>
            <w:r>
              <w:rPr>
                <w:rFonts w:hint="eastAsia" w:ascii="宋体" w:hAnsi="宋体" w:eastAsia="宋体" w:cs="宋体"/>
                <w:color w:val="auto"/>
                <w:kern w:val="2"/>
                <w:sz w:val="24"/>
                <w:szCs w:val="24"/>
                <w:highlight w:val="none"/>
                <w:lang w:val="en-US" w:eastAsia="zh-CN"/>
                <w14:textFill>
                  <w14:gradFill>
                    <w14:gsLst>
                      <w14:gs w14:pos="0">
                        <w14:srgbClr w14:val="007BD3"/>
                      </w14:gs>
                      <w14:gs w14:pos="100000">
                        <w14:srgbClr w14:val="034373"/>
                      </w14:gs>
                    </w14:gsLst>
                    <w14:lin w14:scaled="0"/>
                  </w14:gradFill>
                </w14:textFill>
              </w:rPr>
              <w:t>202</w:t>
            </w:r>
            <w:r>
              <w:rPr>
                <w:rFonts w:hint="eastAsia" w:hAnsi="宋体" w:cs="宋体"/>
                <w:color w:val="auto"/>
                <w:kern w:val="2"/>
                <w:sz w:val="24"/>
                <w:szCs w:val="24"/>
                <w:highlight w:val="none"/>
                <w:lang w:val="en-US" w:eastAsia="zh-CN"/>
                <w14:textFill>
                  <w14:gradFill>
                    <w14:gsLst>
                      <w14:gs w14:pos="0">
                        <w14:srgbClr w14:val="007BD3"/>
                      </w14:gs>
                      <w14:gs w14:pos="100000">
                        <w14:srgbClr w14:val="034373"/>
                      </w14:gs>
                    </w14:gsLst>
                    <w14:lin w14:scaled="0"/>
                  </w14:gradFill>
                </w14:textFill>
              </w:rPr>
              <w:t>1</w:t>
            </w:r>
            <w:r>
              <w:rPr>
                <w:rFonts w:hint="eastAsia" w:ascii="宋体" w:hAnsi="宋体" w:eastAsia="宋体" w:cs="宋体"/>
                <w:color w:val="auto"/>
                <w:kern w:val="2"/>
                <w:sz w:val="24"/>
                <w:szCs w:val="24"/>
                <w:highlight w:val="none"/>
                <w:lang w:val="en-US" w:eastAsia="zh-CN"/>
              </w:rPr>
              <w:t>年1月1日以来具有三</w:t>
            </w:r>
            <w:r>
              <w:rPr>
                <w:rFonts w:hint="eastAsia" w:hAnsi="宋体" w:cs="宋体"/>
                <w:color w:val="auto"/>
                <w:kern w:val="2"/>
                <w:sz w:val="24"/>
                <w:szCs w:val="24"/>
                <w:highlight w:val="none"/>
                <w:lang w:val="en-US" w:eastAsia="zh-CN"/>
              </w:rPr>
              <w:t>级及以上</w:t>
            </w:r>
            <w:r>
              <w:rPr>
                <w:rFonts w:hint="eastAsia" w:ascii="宋体" w:hAnsi="宋体" w:eastAsia="宋体" w:cs="宋体"/>
                <w:color w:val="auto"/>
                <w:kern w:val="2"/>
                <w:sz w:val="24"/>
                <w:szCs w:val="24"/>
                <w:highlight w:val="none"/>
                <w:lang w:val="en-US" w:eastAsia="zh-CN"/>
              </w:rPr>
              <w:t>医院类似项目业绩案例，每有1个得1分，本项最多得3分。</w:t>
            </w:r>
          </w:p>
          <w:p w14:paraId="329AC4CC">
            <w:pPr>
              <w:widowControl w:val="0"/>
              <w:numPr>
                <w:ilvl w:val="0"/>
                <w:numId w:val="0"/>
              </w:numPr>
              <w:shd w:val="clear"/>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注：（1）类似项目业绩为同类产品销售业绩（同一品种不同品规不重复计算，同一医院不同年度的业绩不重复计算）；（2）需提供中标（成交）通知书或合同复印件加盖供应商公章。</w:t>
            </w:r>
          </w:p>
          <w:p w14:paraId="44099145">
            <w:pPr>
              <w:widowControl w:val="0"/>
              <w:numPr>
                <w:ilvl w:val="0"/>
                <w:numId w:val="0"/>
              </w:numPr>
              <w:shd w:val="clear"/>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rPr>
              <w:t>供应商</w:t>
            </w:r>
            <w:r>
              <w:rPr>
                <w:rFonts w:hint="eastAsia" w:hAnsi="宋体" w:cs="宋体"/>
                <w:color w:val="auto"/>
                <w:kern w:val="2"/>
                <w:sz w:val="24"/>
                <w:szCs w:val="24"/>
                <w:highlight w:val="none"/>
                <w:lang w:val="en-US" w:eastAsia="zh-CN"/>
              </w:rPr>
              <w:t>现有或承诺成交后配置</w:t>
            </w:r>
            <w:r>
              <w:rPr>
                <w:rFonts w:hint="eastAsia" w:ascii="宋体" w:hAnsi="宋体" w:eastAsia="宋体" w:cs="宋体"/>
                <w:color w:val="auto"/>
                <w:kern w:val="2"/>
                <w:sz w:val="24"/>
                <w:szCs w:val="24"/>
                <w:highlight w:val="none"/>
                <w:lang w:val="en-US" w:eastAsia="zh-CN"/>
              </w:rPr>
              <w:t>仓储场地，仓储场地面积≥4000平米的得</w:t>
            </w:r>
            <w:r>
              <w:rPr>
                <w:rFonts w:hint="eastAsia"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val="en-US" w:eastAsia="zh-CN"/>
              </w:rPr>
              <w:t xml:space="preserve">分，2500（含）-3999平米的得4分，1500（含）-2499平米的得2分，＜1500平米的得1分，不具有仓储地的不得分。 </w:t>
            </w:r>
          </w:p>
          <w:p w14:paraId="1C51B120">
            <w:pPr>
              <w:widowControl/>
              <w:shd w:val="clear"/>
              <w:spacing w:line="360" w:lineRule="auto"/>
              <w:jc w:val="left"/>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注：</w:t>
            </w:r>
            <w:r>
              <w:rPr>
                <w:rFonts w:hint="eastAsia" w:ascii="宋体" w:hAnsi="宋体" w:eastAsia="宋体" w:cs="宋体"/>
                <w:color w:val="auto"/>
                <w:kern w:val="0"/>
                <w:sz w:val="24"/>
                <w:szCs w:val="24"/>
                <w:highlight w:val="none"/>
                <w:lang w:val="en-US" w:eastAsia="zh-CN" w:bidi="ar-SA"/>
              </w:rPr>
              <w:t>①</w:t>
            </w:r>
            <w:r>
              <w:rPr>
                <w:rFonts w:hint="eastAsia" w:ascii="宋体" w:hAnsi="宋体" w:eastAsia="宋体" w:cs="宋体"/>
                <w:color w:val="auto"/>
                <w:kern w:val="2"/>
                <w:sz w:val="24"/>
                <w:szCs w:val="24"/>
                <w:highlight w:val="none"/>
                <w:lang w:val="en-US" w:eastAsia="zh-CN"/>
              </w:rPr>
              <w:t>现有仓储场地的提供仓储场地产权证明或租赁合同复印件以及场地现场图片加盖供应商公章。</w:t>
            </w:r>
          </w:p>
          <w:p w14:paraId="02ABC77E">
            <w:pPr>
              <w:widowControl/>
              <w:shd w:val="clear"/>
              <w:spacing w:line="360" w:lineRule="auto"/>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②也可提供成交后15个工作日内配置</w:t>
            </w:r>
            <w:r>
              <w:rPr>
                <w:rFonts w:hint="eastAsia" w:ascii="宋体" w:hAnsi="宋体" w:eastAsia="宋体" w:cs="宋体"/>
                <w:color w:val="auto"/>
                <w:kern w:val="2"/>
                <w:sz w:val="24"/>
                <w:szCs w:val="24"/>
                <w:highlight w:val="none"/>
                <w:lang w:val="en-US" w:eastAsia="zh-CN"/>
              </w:rPr>
              <w:t>仓储场地的</w:t>
            </w:r>
            <w:r>
              <w:rPr>
                <w:rFonts w:hint="eastAsia" w:ascii="宋体" w:hAnsi="宋体" w:eastAsia="宋体" w:cs="宋体"/>
                <w:color w:val="auto"/>
                <w:kern w:val="0"/>
                <w:sz w:val="24"/>
                <w:szCs w:val="24"/>
                <w:highlight w:val="none"/>
                <w:lang w:val="en-US" w:eastAsia="zh-CN" w:bidi="ar-SA"/>
              </w:rPr>
              <w:t>承诺函加盖供应商公章（承诺函应明确成交后配置的场地面积并按上述要求向采购人提供场地证明材料）。</w:t>
            </w:r>
          </w:p>
          <w:p w14:paraId="79F8897F">
            <w:pPr>
              <w:widowControl w:val="0"/>
              <w:shd w:val="clear"/>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0000FF"/>
                <w:kern w:val="2"/>
                <w:sz w:val="24"/>
                <w:szCs w:val="24"/>
                <w:highlight w:val="none"/>
                <w:lang w:val="en-US" w:eastAsia="zh-CN"/>
                <w14:textFill>
                  <w14:gradFill>
                    <w14:gsLst>
                      <w14:gs w14:pos="0">
                        <w14:srgbClr w14:val="E30000"/>
                      </w14:gs>
                      <w14:gs w14:pos="100000">
                        <w14:srgbClr w14:val="760303"/>
                      </w14:gs>
                    </w14:gsLst>
                    <w14:lin w14:scaled="0"/>
                  </w14:gradFill>
                </w14:textFill>
              </w:rPr>
              <w:t>20</w:t>
            </w:r>
            <w:r>
              <w:rPr>
                <w:rFonts w:hint="eastAsia" w:hAnsi="宋体" w:cs="宋体"/>
                <w:color w:val="0000FF"/>
                <w:kern w:val="2"/>
                <w:sz w:val="24"/>
                <w:szCs w:val="24"/>
                <w:highlight w:val="none"/>
                <w:lang w:val="en-US" w:eastAsia="zh-CN"/>
                <w14:textFill>
                  <w14:gradFill>
                    <w14:gsLst>
                      <w14:gs w14:pos="0">
                        <w14:srgbClr w14:val="E30000"/>
                      </w14:gs>
                      <w14:gs w14:pos="100000">
                        <w14:srgbClr w14:val="760303"/>
                      </w14:gs>
                    </w14:gsLst>
                    <w14:lin w14:scaled="0"/>
                  </w14:gradFill>
                </w14:textFill>
              </w:rPr>
              <w:t>21</w:t>
            </w:r>
            <w:r>
              <w:rPr>
                <w:rFonts w:hint="eastAsia" w:ascii="宋体" w:hAnsi="宋体" w:eastAsia="宋体" w:cs="宋体"/>
                <w:color w:val="auto"/>
                <w:kern w:val="2"/>
                <w:sz w:val="24"/>
                <w:szCs w:val="24"/>
                <w:highlight w:val="none"/>
                <w:lang w:val="en-US" w:eastAsia="zh-CN"/>
              </w:rPr>
              <w:t>年1月1日至投标截止日，供应商或所投产品制造厂家在国家、省、市药品监督管理局《药品质量公告》中未出现过药品召回、消费警告、抽检信息产品不合格或通报的得</w:t>
            </w:r>
            <w:r>
              <w:rPr>
                <w:rFonts w:hint="eastAsia" w:hAnsi="宋体" w:cs="宋体"/>
                <w:color w:val="00B050"/>
                <w:kern w:val="2"/>
                <w:sz w:val="24"/>
                <w:szCs w:val="24"/>
                <w:highlight w:val="none"/>
                <w:lang w:val="en-US" w:eastAsia="zh-CN"/>
              </w:rPr>
              <w:t>4</w:t>
            </w:r>
            <w:r>
              <w:rPr>
                <w:rFonts w:hint="eastAsia" w:ascii="宋体" w:hAnsi="宋体" w:eastAsia="宋体" w:cs="宋体"/>
                <w:color w:val="auto"/>
                <w:kern w:val="2"/>
                <w:sz w:val="24"/>
                <w:szCs w:val="24"/>
                <w:highlight w:val="none"/>
                <w:lang w:val="en-US" w:eastAsia="zh-CN"/>
              </w:rPr>
              <w:t>分，出现过一次扣1.5分，扣完为止。</w:t>
            </w:r>
          </w:p>
          <w:p w14:paraId="4FA9EBC8">
            <w:pPr>
              <w:widowControl w:val="0"/>
              <w:shd w:val="clear"/>
              <w:spacing w:line="360" w:lineRule="auto"/>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注：</w:t>
            </w:r>
            <w:r>
              <w:rPr>
                <w:rFonts w:hint="eastAsia" w:ascii="宋体" w:hAnsi="宋体" w:eastAsia="宋体" w:cs="宋体"/>
                <w:color w:val="auto"/>
                <w:kern w:val="0"/>
                <w:sz w:val="24"/>
                <w:szCs w:val="24"/>
                <w:highlight w:val="none"/>
                <w:lang w:val="en-US" w:eastAsia="zh-CN" w:bidi="ar-SA"/>
              </w:rPr>
              <w:t>①</w:t>
            </w:r>
            <w:r>
              <w:rPr>
                <w:rFonts w:hint="eastAsia" w:ascii="宋体" w:hAnsi="宋体" w:eastAsia="宋体" w:cs="宋体"/>
                <w:color w:val="auto"/>
                <w:kern w:val="2"/>
                <w:sz w:val="24"/>
                <w:szCs w:val="24"/>
                <w:highlight w:val="none"/>
                <w:lang w:val="en-US" w:eastAsia="zh-CN"/>
              </w:rPr>
              <w:t>如未出现过药品召回、消费警告、抽检信息产品不合格或通报的需提供承诺书；</w:t>
            </w:r>
            <w:r>
              <w:rPr>
                <w:rFonts w:hint="eastAsia" w:ascii="宋体" w:hAnsi="宋体" w:eastAsia="宋体" w:cs="宋体"/>
                <w:color w:val="auto"/>
                <w:kern w:val="0"/>
                <w:sz w:val="24"/>
                <w:szCs w:val="24"/>
                <w:highlight w:val="none"/>
                <w:lang w:val="en-US" w:eastAsia="zh-CN" w:bidi="ar-SA"/>
              </w:rPr>
              <w:t>②</w:t>
            </w:r>
            <w:r>
              <w:rPr>
                <w:rFonts w:hint="eastAsia" w:ascii="宋体" w:hAnsi="宋体" w:eastAsia="宋体" w:cs="宋体"/>
                <w:color w:val="auto"/>
                <w:kern w:val="2"/>
                <w:sz w:val="24"/>
                <w:szCs w:val="24"/>
                <w:highlight w:val="none"/>
                <w:lang w:val="en-US" w:eastAsia="zh-CN"/>
              </w:rPr>
              <w:t>如出现过药品召回、消费警告、抽检信息产品不合格或通报的则需列明相关次数；</w:t>
            </w:r>
            <w:r>
              <w:rPr>
                <w:rFonts w:hint="eastAsia" w:ascii="宋体" w:hAnsi="宋体" w:eastAsia="宋体" w:cs="宋体"/>
                <w:color w:val="auto"/>
                <w:kern w:val="0"/>
                <w:sz w:val="24"/>
                <w:szCs w:val="24"/>
                <w:highlight w:val="none"/>
                <w:lang w:val="en-US" w:eastAsia="zh-CN" w:bidi="ar-SA"/>
              </w:rPr>
              <w:t>③</w:t>
            </w:r>
            <w:r>
              <w:rPr>
                <w:rFonts w:hint="eastAsia" w:ascii="宋体" w:hAnsi="宋体" w:eastAsia="宋体" w:cs="宋体"/>
                <w:color w:val="auto"/>
                <w:kern w:val="2"/>
                <w:sz w:val="24"/>
                <w:szCs w:val="24"/>
                <w:highlight w:val="none"/>
                <w:lang w:val="en-US" w:eastAsia="zh-CN"/>
              </w:rPr>
              <w:t>若供应商隐瞒通报情况，采购人有权取消其成交资格。</w:t>
            </w:r>
          </w:p>
          <w:p w14:paraId="59B083A1">
            <w:pPr>
              <w:widowControl w:val="0"/>
              <w:shd w:val="clear"/>
              <w:spacing w:line="360" w:lineRule="auto"/>
              <w:jc w:val="both"/>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4、供应商或生产企业供应中药饮片品种数量：数量≥700种得</w:t>
            </w:r>
            <w:r>
              <w:rPr>
                <w:rFonts w:hint="eastAsia" w:hAnsi="宋体" w:cs="宋体"/>
                <w:color w:val="00B050"/>
                <w:kern w:val="2"/>
                <w:sz w:val="24"/>
                <w:szCs w:val="24"/>
                <w:highlight w:val="none"/>
                <w:lang w:val="en-US" w:eastAsia="zh-CN"/>
              </w:rPr>
              <w:t>3</w:t>
            </w:r>
            <w:r>
              <w:rPr>
                <w:rFonts w:hint="eastAsia" w:hAnsi="宋体" w:cs="宋体"/>
                <w:color w:val="auto"/>
                <w:kern w:val="2"/>
                <w:sz w:val="24"/>
                <w:szCs w:val="24"/>
                <w:highlight w:val="none"/>
                <w:lang w:val="en-US" w:eastAsia="zh-CN"/>
              </w:rPr>
              <w:t>分，600种（含）-699种得</w:t>
            </w:r>
            <w:r>
              <w:rPr>
                <w:rFonts w:hint="eastAsia" w:hAnsi="宋体" w:cs="宋体"/>
                <w:color w:val="00B050"/>
                <w:kern w:val="2"/>
                <w:sz w:val="24"/>
                <w:szCs w:val="24"/>
                <w:highlight w:val="none"/>
                <w:lang w:val="en-US" w:eastAsia="zh-CN"/>
              </w:rPr>
              <w:t>2</w:t>
            </w:r>
            <w:r>
              <w:rPr>
                <w:rFonts w:hint="eastAsia" w:hAnsi="宋体" w:cs="宋体"/>
                <w:color w:val="auto"/>
                <w:kern w:val="2"/>
                <w:sz w:val="24"/>
                <w:szCs w:val="24"/>
                <w:highlight w:val="none"/>
                <w:lang w:val="en-US" w:eastAsia="zh-CN"/>
              </w:rPr>
              <w:t>分，500种（含）-599种得1分，＜500种不得分。</w:t>
            </w:r>
          </w:p>
          <w:p w14:paraId="5D9D449F">
            <w:pPr>
              <w:widowControl w:val="0"/>
              <w:shd w:val="clear"/>
              <w:spacing w:line="360" w:lineRule="auto"/>
              <w:jc w:val="both"/>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注：提供中药饮片供应品种清单加盖供应商公章。</w:t>
            </w:r>
          </w:p>
        </w:tc>
        <w:tc>
          <w:tcPr>
            <w:tcW w:w="1109" w:type="pct"/>
            <w:noWrap/>
            <w:vAlign w:val="center"/>
          </w:tcPr>
          <w:p w14:paraId="5F6CF696">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w:t>
            </w:r>
          </w:p>
        </w:tc>
      </w:tr>
      <w:tr w14:paraId="6940A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63" w:type="pct"/>
            <w:noWrap/>
            <w:vAlign w:val="center"/>
          </w:tcPr>
          <w:p w14:paraId="5EF52AFB">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4</w:t>
            </w:r>
          </w:p>
        </w:tc>
        <w:tc>
          <w:tcPr>
            <w:tcW w:w="509" w:type="pct"/>
            <w:noWrap/>
            <w:vAlign w:val="center"/>
          </w:tcPr>
          <w:p w14:paraId="242489C9">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质量保障能力</w:t>
            </w:r>
            <w:r>
              <w:rPr>
                <w:rFonts w:hint="eastAsia" w:hAnsi="宋体" w:cs="宋体"/>
                <w:color w:val="auto"/>
                <w:kern w:val="0"/>
                <w:sz w:val="24"/>
                <w:szCs w:val="24"/>
                <w:highlight w:val="none"/>
                <w:lang w:val="en-US" w:eastAsia="zh-CN"/>
              </w:rPr>
              <w:t>20%</w:t>
            </w:r>
          </w:p>
        </w:tc>
        <w:tc>
          <w:tcPr>
            <w:tcW w:w="508" w:type="pct"/>
            <w:noWrap/>
            <w:vAlign w:val="center"/>
          </w:tcPr>
          <w:p w14:paraId="12797C1E">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20</w:t>
            </w:r>
            <w:r>
              <w:rPr>
                <w:rFonts w:hint="eastAsia" w:ascii="宋体" w:hAnsi="宋体" w:eastAsia="宋体" w:cs="宋体"/>
                <w:color w:val="auto"/>
                <w:kern w:val="2"/>
                <w:sz w:val="24"/>
                <w:szCs w:val="24"/>
                <w:highlight w:val="none"/>
                <w:lang w:val="en-US" w:eastAsia="zh-CN"/>
              </w:rPr>
              <w:t>分</w:t>
            </w:r>
          </w:p>
        </w:tc>
        <w:tc>
          <w:tcPr>
            <w:tcW w:w="2609" w:type="pct"/>
            <w:noWrap/>
            <w:vAlign w:val="center"/>
          </w:tcPr>
          <w:p w14:paraId="4C30A657">
            <w:pPr>
              <w:widowControl/>
              <w:numPr>
                <w:ilvl w:val="0"/>
                <w:numId w:val="0"/>
              </w:numPr>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rPr>
              <w:t>根据</w:t>
            </w:r>
            <w:r>
              <w:rPr>
                <w:rFonts w:hint="eastAsia" w:hAnsi="宋体" w:cs="宋体"/>
                <w:color w:val="auto"/>
                <w:kern w:val="0"/>
                <w:sz w:val="24"/>
                <w:szCs w:val="24"/>
                <w:highlight w:val="none"/>
                <w:lang w:val="en-US" w:eastAsia="zh-CN"/>
              </w:rPr>
              <w:t>供应商针对本项目</w:t>
            </w:r>
            <w:r>
              <w:rPr>
                <w:rFonts w:hint="eastAsia" w:ascii="宋体" w:hAnsi="宋体" w:eastAsia="宋体" w:cs="宋体"/>
                <w:color w:val="auto"/>
                <w:kern w:val="0"/>
                <w:sz w:val="24"/>
                <w:szCs w:val="24"/>
                <w:highlight w:val="none"/>
                <w:lang w:val="en-US" w:eastAsia="zh-CN"/>
              </w:rPr>
              <w:t>提供的质量保障方案</w:t>
            </w:r>
            <w:r>
              <w:rPr>
                <w:rFonts w:hint="eastAsia" w:hAnsi="宋体" w:cs="宋体"/>
                <w:color w:val="auto"/>
                <w:kern w:val="0"/>
                <w:sz w:val="24"/>
                <w:szCs w:val="24"/>
                <w:highlight w:val="none"/>
                <w:lang w:val="en-US" w:eastAsia="zh-CN"/>
              </w:rPr>
              <w:t>进行评分，内容包含：（1）所供应药材</w:t>
            </w:r>
            <w:r>
              <w:rPr>
                <w:rFonts w:hint="eastAsia" w:ascii="宋体" w:hAnsi="宋体" w:eastAsia="宋体" w:cs="宋体"/>
                <w:color w:val="auto"/>
                <w:kern w:val="0"/>
                <w:sz w:val="24"/>
                <w:szCs w:val="24"/>
                <w:highlight w:val="none"/>
                <w:lang w:val="en-US" w:eastAsia="zh-CN"/>
              </w:rPr>
              <w:t>的质量标准</w:t>
            </w:r>
            <w:r>
              <w:rPr>
                <w:rFonts w:hint="eastAsia"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药材来源保障（说明</w:t>
            </w:r>
            <w:r>
              <w:rPr>
                <w:rFonts w:hint="eastAsia" w:hAnsi="宋体" w:cs="宋体"/>
                <w:color w:val="auto"/>
                <w:kern w:val="0"/>
                <w:sz w:val="24"/>
                <w:szCs w:val="24"/>
                <w:highlight w:val="none"/>
                <w:lang w:val="en-US" w:eastAsia="zh-CN"/>
              </w:rPr>
              <w:t>药材</w:t>
            </w:r>
            <w:r>
              <w:rPr>
                <w:rFonts w:hint="eastAsia" w:ascii="宋体" w:hAnsi="宋体" w:eastAsia="宋体" w:cs="宋体"/>
                <w:color w:val="auto"/>
                <w:kern w:val="0"/>
                <w:sz w:val="24"/>
                <w:szCs w:val="24"/>
                <w:highlight w:val="none"/>
                <w:lang w:val="en-US" w:eastAsia="zh-CN"/>
              </w:rPr>
              <w:t>产地及道地药材的占比）</w:t>
            </w:r>
            <w:r>
              <w:rPr>
                <w:rFonts w:hint="eastAsia"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炮制基本工艺流程</w:t>
            </w:r>
            <w:r>
              <w:rPr>
                <w:rFonts w:hint="eastAsia"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检验相关设备</w:t>
            </w:r>
            <w:r>
              <w:rPr>
                <w:rFonts w:hint="eastAsia" w:hAnsi="宋体" w:cs="宋体"/>
                <w:color w:val="auto"/>
                <w:kern w:val="0"/>
                <w:sz w:val="24"/>
                <w:szCs w:val="24"/>
                <w:highlight w:val="none"/>
                <w:lang w:val="en-US" w:eastAsia="zh-CN"/>
              </w:rPr>
              <w:t>配置和</w:t>
            </w:r>
            <w:r>
              <w:rPr>
                <w:rFonts w:hint="eastAsia" w:ascii="宋体" w:hAnsi="宋体" w:eastAsia="宋体" w:cs="宋体"/>
                <w:color w:val="auto"/>
                <w:kern w:val="0"/>
                <w:sz w:val="24"/>
                <w:szCs w:val="24"/>
                <w:highlight w:val="none"/>
                <w:lang w:val="en-US" w:eastAsia="zh-CN"/>
              </w:rPr>
              <w:t>检验检测制度、人员保障</w:t>
            </w:r>
            <w:r>
              <w:rPr>
                <w:rFonts w:hint="eastAsia"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质量管理体系</w:t>
            </w:r>
            <w:r>
              <w:rPr>
                <w:rFonts w:hint="eastAsia"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说明质量控制技术</w:t>
            </w:r>
            <w:r>
              <w:rPr>
                <w:rFonts w:hint="eastAsia" w:hAnsi="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lang w:val="en-US" w:eastAsia="zh-CN"/>
              </w:rPr>
              <w:t>方法</w:t>
            </w:r>
            <w:r>
              <w:rPr>
                <w:rFonts w:hint="eastAsia"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w:t>
            </w:r>
          </w:p>
          <w:p w14:paraId="0C378853">
            <w:pPr>
              <w:keepNext w:val="0"/>
              <w:keepLines w:val="0"/>
              <w:pageBreakBefore w:val="0"/>
              <w:widowControl w:val="0"/>
              <w:shd w:val="clear"/>
              <w:kinsoku/>
              <w:wordWrap/>
              <w:overflowPunct/>
              <w:topLinePunct w:val="0"/>
              <w:autoSpaceDE/>
              <w:autoSpaceDN/>
              <w:bidi w:val="0"/>
              <w:snapToGrid/>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方案完全包括上述内容且无缺陷的得</w:t>
            </w:r>
            <w:r>
              <w:rPr>
                <w:rFonts w:hint="eastAsia" w:hAnsi="宋体" w:cs="宋体"/>
                <w:color w:val="00B050"/>
                <w:kern w:val="0"/>
                <w:sz w:val="24"/>
                <w:szCs w:val="24"/>
                <w:highlight w:val="none"/>
                <w:lang w:val="en-US" w:eastAsia="zh-CN" w:bidi="ar-SA"/>
              </w:rPr>
              <w:t>8</w:t>
            </w:r>
            <w:r>
              <w:rPr>
                <w:rFonts w:hint="eastAsia" w:ascii="宋体" w:hAnsi="宋体" w:eastAsia="宋体" w:cs="宋体"/>
                <w:color w:val="auto"/>
                <w:kern w:val="0"/>
                <w:sz w:val="24"/>
                <w:szCs w:val="24"/>
                <w:highlight w:val="none"/>
                <w:lang w:val="en-US" w:eastAsia="zh-CN" w:bidi="ar-SA"/>
              </w:rPr>
              <w:t>分，每有一项内容缺失扣2分，每有一项内容存在缺陷的扣1分，扣完为止。</w:t>
            </w:r>
          </w:p>
          <w:p w14:paraId="22B47926">
            <w:pPr>
              <w:widowControl/>
              <w:numPr>
                <w:ilvl w:val="0"/>
                <w:numId w:val="0"/>
              </w:numPr>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SA"/>
              </w:rPr>
              <w:t>注：缺陷是指：①项目名称错误或实施地点区域错误；②虽有响应但与方案内容要求不符未按采购需求针对描述或存在描述内容过于简略、缺失不全；③表述不清晰、凭空编造、逻辑混淆错误；④套用其他项目方案；⑤存在与本项目无关的内容、不可能实现的夸大情形等情形中的任一种情形。</w:t>
            </w:r>
          </w:p>
          <w:p w14:paraId="1AB23992">
            <w:pPr>
              <w:widowControl/>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所投中药饮片药材来源于中药材种植基地的品种数：≥100种得</w:t>
            </w:r>
            <w:r>
              <w:rPr>
                <w:rFonts w:hint="eastAsia" w:hAnsi="宋体" w:cs="宋体"/>
                <w:color w:val="00B050"/>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分；50-99种得</w:t>
            </w:r>
            <w:r>
              <w:rPr>
                <w:rFonts w:hint="eastAsia" w:hAnsi="宋体" w:cs="宋体"/>
                <w:color w:val="00B050"/>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分；＜50种不得分</w:t>
            </w:r>
            <w:r>
              <w:rPr>
                <w:rFonts w:hint="eastAsia" w:hAnsi="宋体" w:cs="宋体"/>
                <w:color w:val="auto"/>
                <w:kern w:val="0"/>
                <w:sz w:val="24"/>
                <w:szCs w:val="24"/>
                <w:highlight w:val="none"/>
                <w:lang w:val="en-US" w:eastAsia="zh-CN"/>
              </w:rPr>
              <w:t>。</w:t>
            </w:r>
          </w:p>
          <w:p w14:paraId="305352E6">
            <w:pPr>
              <w:widowControl/>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注：提供药材来源证明材料加盖供应商公章</w:t>
            </w:r>
            <w:r>
              <w:rPr>
                <w:rFonts w:hint="eastAsia" w:ascii="宋体" w:hAnsi="宋体" w:eastAsia="宋体" w:cs="宋体"/>
                <w:color w:val="auto"/>
                <w:kern w:val="0"/>
                <w:sz w:val="24"/>
                <w:szCs w:val="24"/>
                <w:highlight w:val="none"/>
                <w:lang w:val="en-US" w:eastAsia="zh-CN"/>
              </w:rPr>
              <w:t>。</w:t>
            </w:r>
          </w:p>
          <w:p w14:paraId="535EC64D">
            <w:pPr>
              <w:widowControl/>
              <w:numPr>
                <w:ilvl w:val="0"/>
                <w:numId w:val="0"/>
              </w:numPr>
              <w:shd w:val="clear"/>
              <w:autoSpaceDE w:val="0"/>
              <w:autoSpaceDN/>
              <w:adjustRightInd w:val="0"/>
              <w:spacing w:line="360" w:lineRule="auto"/>
              <w:jc w:val="both"/>
              <w:rPr>
                <w:rFonts w:hint="default"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rPr>
              <w:t>追溯信息要求：仅提供饮片生产追溯信息，包括中药材质量信息、投料、工艺流程、产品检验等关键环节信息的得</w:t>
            </w:r>
            <w:r>
              <w:rPr>
                <w:rFonts w:hint="eastAsia"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分；在饮片生产追溯信息基础上，提供原料药材追溯信息，包括中药材原料的基原、产区、农药使用、生长周期、采收时间和初加工方法等关键环节信息的得</w:t>
            </w:r>
            <w:r>
              <w:rPr>
                <w:rFonts w:hint="eastAsia"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分；企业追溯体系包括饮片生产、药材追溯、饮片销售全过程追溯的得</w:t>
            </w:r>
            <w:r>
              <w:rPr>
                <w:rFonts w:hint="eastAsia" w:hAnsi="宋体" w:cs="宋体"/>
                <w:color w:val="00B050"/>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w:t>
            </w:r>
            <w:r>
              <w:rPr>
                <w:rFonts w:hint="eastAsia"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本项最多得</w:t>
            </w:r>
            <w:r>
              <w:rPr>
                <w:rFonts w:hint="eastAsia"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w:t>
            </w:r>
            <w:r>
              <w:rPr>
                <w:rFonts w:hint="eastAsia" w:hAnsi="宋体" w:cs="宋体"/>
                <w:color w:val="auto"/>
                <w:kern w:val="0"/>
                <w:sz w:val="24"/>
                <w:szCs w:val="24"/>
                <w:highlight w:val="none"/>
                <w:lang w:val="en-US" w:eastAsia="zh-CN"/>
              </w:rPr>
              <w:t>。</w:t>
            </w:r>
          </w:p>
          <w:p w14:paraId="54819C33">
            <w:pPr>
              <w:widowControl/>
              <w:numPr>
                <w:ilvl w:val="0"/>
                <w:numId w:val="0"/>
              </w:numPr>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注：提供饮片生产追溯信息加盖供应商公章</w:t>
            </w:r>
            <w:r>
              <w:rPr>
                <w:rFonts w:hint="eastAsia" w:ascii="宋体" w:hAnsi="宋体" w:eastAsia="宋体" w:cs="宋体"/>
                <w:color w:val="auto"/>
                <w:kern w:val="0"/>
                <w:sz w:val="24"/>
                <w:szCs w:val="24"/>
                <w:highlight w:val="none"/>
                <w:lang w:val="en-US" w:eastAsia="zh-CN"/>
              </w:rPr>
              <w:t>。</w:t>
            </w:r>
          </w:p>
          <w:p w14:paraId="22839A19">
            <w:pPr>
              <w:widowControl/>
              <w:numPr>
                <w:ilvl w:val="0"/>
                <w:numId w:val="0"/>
              </w:numPr>
              <w:shd w:val="clear"/>
              <w:autoSpaceDE w:val="0"/>
              <w:autoSpaceDN/>
              <w:adjustRightInd w:val="0"/>
              <w:spacing w:line="360" w:lineRule="auto"/>
              <w:jc w:val="both"/>
              <w:rPr>
                <w:rFonts w:hint="eastAsia" w:hAnsi="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rPr>
              <w:t>追溯品种数量：≥100种得</w:t>
            </w:r>
            <w:r>
              <w:rPr>
                <w:rFonts w:hint="eastAsia"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分；50-99种得</w:t>
            </w:r>
            <w:r>
              <w:rPr>
                <w:rFonts w:hint="eastAsia" w:hAnsi="宋体" w:cs="宋体"/>
                <w:color w:val="00B050"/>
                <w:kern w:val="0"/>
                <w:sz w:val="24"/>
                <w:szCs w:val="24"/>
                <w:highlight w:val="none"/>
                <w:lang w:val="en-US" w:eastAsia="zh-CN"/>
              </w:rPr>
              <w:t>1.5</w:t>
            </w:r>
            <w:r>
              <w:rPr>
                <w:rFonts w:hint="eastAsia" w:ascii="宋体" w:hAnsi="宋体" w:eastAsia="宋体" w:cs="宋体"/>
                <w:color w:val="auto"/>
                <w:kern w:val="0"/>
                <w:sz w:val="24"/>
                <w:szCs w:val="24"/>
                <w:highlight w:val="none"/>
                <w:lang w:val="en-US" w:eastAsia="zh-CN"/>
              </w:rPr>
              <w:t>分；20-49种得</w:t>
            </w:r>
            <w:r>
              <w:rPr>
                <w:rFonts w:hint="eastAsia" w:hAnsi="宋体" w:cs="宋体"/>
                <w:color w:val="00B050"/>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分；＜20种</w:t>
            </w:r>
            <w:r>
              <w:rPr>
                <w:rFonts w:hint="eastAsia" w:hAnsi="宋体" w:cs="宋体"/>
                <w:color w:val="auto"/>
                <w:kern w:val="0"/>
                <w:sz w:val="24"/>
                <w:szCs w:val="24"/>
                <w:highlight w:val="none"/>
                <w:lang w:val="en-US" w:eastAsia="zh-CN"/>
              </w:rPr>
              <w:t>不得分。</w:t>
            </w:r>
          </w:p>
          <w:p w14:paraId="2E8BB721">
            <w:pPr>
              <w:widowControl/>
              <w:numPr>
                <w:ilvl w:val="0"/>
                <w:numId w:val="0"/>
              </w:numPr>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注：提供供应商的追溯品种数量加盖供应商公章</w:t>
            </w:r>
            <w:r>
              <w:rPr>
                <w:rFonts w:hint="eastAsia" w:ascii="宋体" w:hAnsi="宋体" w:eastAsia="宋体" w:cs="宋体"/>
                <w:color w:val="auto"/>
                <w:kern w:val="0"/>
                <w:sz w:val="24"/>
                <w:szCs w:val="24"/>
                <w:highlight w:val="none"/>
                <w:lang w:val="en-US" w:eastAsia="zh-CN"/>
              </w:rPr>
              <w:t>。</w:t>
            </w:r>
          </w:p>
          <w:p w14:paraId="479C4796">
            <w:pPr>
              <w:widowControl/>
              <w:numPr>
                <w:ilvl w:val="0"/>
                <w:numId w:val="0"/>
              </w:numPr>
              <w:shd w:val="clear"/>
              <w:autoSpaceDE w:val="0"/>
              <w:autoSpaceDN/>
              <w:adjustRightInd w:val="0"/>
              <w:spacing w:line="360" w:lineRule="auto"/>
              <w:jc w:val="both"/>
              <w:rPr>
                <w:rFonts w:hint="eastAsia" w:hAnsi="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rPr>
              <w:t>提供木香、续断、白附片三种中药饮片的原料药材追溯信息、饮片生产追溯信息，每提供1种得1分，</w:t>
            </w:r>
            <w:r>
              <w:rPr>
                <w:rFonts w:hint="eastAsia" w:hAnsi="宋体" w:cs="宋体"/>
                <w:color w:val="auto"/>
                <w:kern w:val="0"/>
                <w:sz w:val="24"/>
                <w:szCs w:val="24"/>
                <w:highlight w:val="none"/>
                <w:lang w:val="en-US" w:eastAsia="zh-CN"/>
              </w:rPr>
              <w:t>本项</w:t>
            </w:r>
            <w:r>
              <w:rPr>
                <w:rFonts w:hint="eastAsia" w:ascii="宋体" w:hAnsi="宋体" w:eastAsia="宋体" w:cs="宋体"/>
                <w:color w:val="auto"/>
                <w:kern w:val="0"/>
                <w:sz w:val="24"/>
                <w:szCs w:val="24"/>
                <w:highlight w:val="none"/>
                <w:lang w:val="en-US" w:eastAsia="zh-CN"/>
              </w:rPr>
              <w:t>最多得</w:t>
            </w:r>
            <w:r>
              <w:rPr>
                <w:rFonts w:hint="eastAsia" w:hAnsi="宋体" w:cs="宋体"/>
                <w:color w:val="00B050"/>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w:t>
            </w:r>
            <w:r>
              <w:rPr>
                <w:rFonts w:hint="eastAsia" w:hAnsi="宋体" w:cs="宋体"/>
                <w:color w:val="auto"/>
                <w:kern w:val="0"/>
                <w:sz w:val="24"/>
                <w:szCs w:val="24"/>
                <w:highlight w:val="none"/>
                <w:lang w:val="en-US" w:eastAsia="zh-CN"/>
              </w:rPr>
              <w:t>。</w:t>
            </w:r>
          </w:p>
          <w:p w14:paraId="7B923945">
            <w:pPr>
              <w:widowControl/>
              <w:numPr>
                <w:ilvl w:val="0"/>
                <w:numId w:val="0"/>
              </w:numPr>
              <w:shd w:val="clear"/>
              <w:autoSpaceDE w:val="0"/>
              <w:autoSpaceDN/>
              <w:adjustRightInd w:val="0"/>
              <w:spacing w:line="360" w:lineRule="auto"/>
              <w:jc w:val="both"/>
              <w:rPr>
                <w:rFonts w:hint="eastAsia"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注：</w:t>
            </w:r>
            <w:r>
              <w:rPr>
                <w:rFonts w:hint="eastAsia" w:ascii="宋体" w:hAnsi="宋体" w:eastAsia="宋体" w:cs="宋体"/>
                <w:color w:val="auto"/>
                <w:kern w:val="0"/>
                <w:sz w:val="24"/>
                <w:szCs w:val="24"/>
                <w:highlight w:val="none"/>
                <w:lang w:val="en-US" w:eastAsia="zh-CN"/>
              </w:rPr>
              <w:t>提供</w:t>
            </w:r>
            <w:r>
              <w:rPr>
                <w:rFonts w:hint="eastAsia" w:hAnsi="宋体" w:cs="宋体"/>
                <w:color w:val="auto"/>
                <w:kern w:val="0"/>
                <w:sz w:val="24"/>
                <w:szCs w:val="24"/>
                <w:highlight w:val="none"/>
                <w:lang w:val="en-US" w:eastAsia="zh-CN"/>
              </w:rPr>
              <w:t>上述中药饮片的</w:t>
            </w:r>
            <w:r>
              <w:rPr>
                <w:rFonts w:hint="eastAsia" w:ascii="宋体" w:hAnsi="宋体" w:eastAsia="宋体" w:cs="宋体"/>
                <w:color w:val="auto"/>
                <w:kern w:val="0"/>
                <w:sz w:val="24"/>
                <w:szCs w:val="24"/>
                <w:highlight w:val="none"/>
                <w:lang w:val="en-US" w:eastAsia="zh-CN"/>
              </w:rPr>
              <w:t>原料药材追溯信息、饮片生产追溯信息</w:t>
            </w:r>
            <w:r>
              <w:rPr>
                <w:rFonts w:hint="eastAsia" w:hAnsi="宋体" w:cs="宋体"/>
                <w:color w:val="auto"/>
                <w:kern w:val="0"/>
                <w:sz w:val="24"/>
                <w:szCs w:val="24"/>
                <w:highlight w:val="none"/>
                <w:lang w:val="en-US" w:eastAsia="zh-CN"/>
              </w:rPr>
              <w:t>加盖供应商公章。</w:t>
            </w:r>
          </w:p>
        </w:tc>
        <w:tc>
          <w:tcPr>
            <w:tcW w:w="1109" w:type="pct"/>
            <w:noWrap/>
            <w:vAlign w:val="center"/>
          </w:tcPr>
          <w:p w14:paraId="025B350E">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w:t>
            </w:r>
          </w:p>
        </w:tc>
      </w:tr>
      <w:tr w14:paraId="50F8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63" w:type="pct"/>
            <w:noWrap/>
            <w:vAlign w:val="center"/>
          </w:tcPr>
          <w:p w14:paraId="167F725C">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5</w:t>
            </w:r>
          </w:p>
        </w:tc>
        <w:tc>
          <w:tcPr>
            <w:tcW w:w="509" w:type="pct"/>
            <w:noWrap/>
            <w:vAlign w:val="center"/>
          </w:tcPr>
          <w:p w14:paraId="3EF0B353">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服务方案</w:t>
            </w:r>
            <w:r>
              <w:rPr>
                <w:rFonts w:hint="eastAsia" w:hAnsi="宋体" w:cs="宋体"/>
                <w:color w:val="auto"/>
                <w:kern w:val="0"/>
                <w:sz w:val="24"/>
                <w:szCs w:val="24"/>
                <w:highlight w:val="none"/>
                <w:lang w:val="en-US" w:eastAsia="zh-CN"/>
              </w:rPr>
              <w:t>10%</w:t>
            </w:r>
          </w:p>
        </w:tc>
        <w:tc>
          <w:tcPr>
            <w:tcW w:w="508" w:type="pct"/>
            <w:noWrap/>
            <w:vAlign w:val="center"/>
          </w:tcPr>
          <w:p w14:paraId="1F3AE800">
            <w:pPr>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lang w:val="en-US" w:eastAsia="zh-CN"/>
              </w:rPr>
              <w:t>分</w:t>
            </w:r>
          </w:p>
        </w:tc>
        <w:tc>
          <w:tcPr>
            <w:tcW w:w="2609" w:type="pct"/>
            <w:noWrap/>
            <w:vAlign w:val="center"/>
          </w:tcPr>
          <w:p w14:paraId="6189261E">
            <w:pPr>
              <w:pStyle w:val="2"/>
              <w:shd w:val="clear"/>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根据</w:t>
            </w:r>
            <w:r>
              <w:rPr>
                <w:rFonts w:hint="eastAsia" w:ascii="宋体" w:hAnsi="宋体" w:eastAsia="宋体" w:cs="宋体"/>
                <w:color w:val="auto"/>
                <w:kern w:val="0"/>
                <w:sz w:val="24"/>
                <w:szCs w:val="24"/>
                <w:highlight w:val="none"/>
                <w:lang w:val="en-US" w:eastAsia="zh-CN"/>
              </w:rPr>
              <w:t>供应商针对本项目提供</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val="en-US" w:eastAsia="zh-CN"/>
              </w:rPr>
              <w:t>服务方案</w:t>
            </w:r>
            <w:r>
              <w:rPr>
                <w:rFonts w:hint="eastAsia" w:ascii="宋体" w:hAnsi="宋体" w:cs="宋体"/>
                <w:color w:val="auto"/>
                <w:kern w:val="0"/>
                <w:sz w:val="24"/>
                <w:szCs w:val="24"/>
                <w:highlight w:val="none"/>
                <w:lang w:val="en-US" w:eastAsia="zh-CN"/>
              </w:rPr>
              <w:t>进行评分</w:t>
            </w:r>
            <w:r>
              <w:rPr>
                <w:rFonts w:hint="eastAsia" w:ascii="宋体" w:hAnsi="宋体" w:eastAsia="宋体" w:cs="宋体"/>
                <w:color w:val="auto"/>
                <w:kern w:val="0"/>
                <w:sz w:val="24"/>
                <w:szCs w:val="24"/>
                <w:highlight w:val="none"/>
                <w:lang w:val="en-US" w:eastAsia="zh-CN"/>
              </w:rPr>
              <w:t>，内容包括：（1）具有规范、安全的采购流程；（2）具有规范的出入库管理制度；（3）具有完整的配送流程；</w:t>
            </w:r>
            <w:r>
              <w:rPr>
                <w:rFonts w:hint="eastAsia" w:ascii="宋体" w:hAnsi="宋体" w:eastAsia="宋体" w:cs="宋体"/>
                <w:color w:val="auto"/>
                <w:highlight w:val="none"/>
                <w:lang w:val="en-US" w:eastAsia="zh-CN"/>
              </w:rPr>
              <w:t>（4）具有明确的配送人员的职责分工；（5）具有明确的其他服务人员的职责分工；（6）具有有规范的操作记录，建立确保质量的全流程跟踪、追溯及监控体系；（7）具有完善的监管体系，能主动接受医院和社会的监督；（8）具有完善的沟通机制，能保证在项目实施过程中与采购人沟通顺畅；（9）明确项目遵循的规范、标准或原则或服务理念；（10）拟派专业技术人员对采购人技术指导和培训安排。</w:t>
            </w:r>
          </w:p>
          <w:p w14:paraId="48015684">
            <w:pPr>
              <w:keepNext w:val="0"/>
              <w:keepLines w:val="0"/>
              <w:pageBreakBefore w:val="0"/>
              <w:widowControl w:val="0"/>
              <w:shd w:val="clear"/>
              <w:kinsoku/>
              <w:wordWrap/>
              <w:overflowPunct/>
              <w:topLinePunct w:val="0"/>
              <w:autoSpaceDE/>
              <w:autoSpaceDN/>
              <w:bidi w:val="0"/>
              <w:snapToGrid/>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14:textFill>
                  <w14:gradFill>
                    <w14:gsLst>
                      <w14:gs w14:pos="0">
                        <w14:srgbClr w14:val="14CD68"/>
                      </w14:gs>
                      <w14:gs w14:pos="100000">
                        <w14:srgbClr w14:val="0B6E38"/>
                      </w14:gs>
                    </w14:gsLst>
                    <w14:lin w14:scaled="0"/>
                  </w14:gradFill>
                </w14:textFill>
              </w:rPr>
              <w:t>方案完</w:t>
            </w:r>
            <w:r>
              <w:rPr>
                <w:rFonts w:hint="eastAsia" w:hAnsi="宋体" w:cs="宋体"/>
                <w:color w:val="auto"/>
                <w:kern w:val="0"/>
                <w:sz w:val="24"/>
                <w:szCs w:val="24"/>
                <w:highlight w:val="none"/>
                <w:lang w:val="en-US" w:eastAsia="zh-CN" w:bidi="ar-SA"/>
                <w14:textFill>
                  <w14:gradFill>
                    <w14:gsLst>
                      <w14:gs w14:pos="0">
                        <w14:srgbClr w14:val="14CD68"/>
                      </w14:gs>
                      <w14:gs w14:pos="100000">
                        <w14:srgbClr w14:val="0B6E38"/>
                      </w14:gs>
                    </w14:gsLst>
                    <w14:lin w14:scaled="0"/>
                  </w14:gradFill>
                </w14:textFill>
              </w:rPr>
              <w:t>全包括上述内容</w:t>
            </w:r>
            <w:r>
              <w:rPr>
                <w:rFonts w:hint="eastAsia" w:ascii="宋体" w:hAnsi="宋体" w:eastAsia="宋体" w:cs="宋体"/>
                <w:color w:val="auto"/>
                <w:kern w:val="0"/>
                <w:sz w:val="24"/>
                <w:szCs w:val="24"/>
                <w:highlight w:val="none"/>
                <w:lang w:val="en-US" w:eastAsia="zh-CN" w:bidi="ar-SA"/>
                <w14:textFill>
                  <w14:gradFill>
                    <w14:gsLst>
                      <w14:gs w14:pos="0">
                        <w14:srgbClr w14:val="14CD68"/>
                      </w14:gs>
                      <w14:gs w14:pos="100000">
                        <w14:srgbClr w14:val="0B6E38"/>
                      </w14:gs>
                    </w14:gsLst>
                    <w14:lin w14:scaled="0"/>
                  </w14:gradFill>
                </w14:textFill>
              </w:rPr>
              <w:t>且无缺陷的得10分，每</w:t>
            </w:r>
            <w:r>
              <w:rPr>
                <w:rFonts w:hint="eastAsia" w:hAnsi="宋体" w:cs="宋体"/>
                <w:color w:val="auto"/>
                <w:kern w:val="0"/>
                <w:sz w:val="24"/>
                <w:szCs w:val="24"/>
                <w:highlight w:val="none"/>
                <w:lang w:val="en-US" w:eastAsia="zh-CN" w:bidi="ar-SA"/>
                <w14:textFill>
                  <w14:gradFill>
                    <w14:gsLst>
                      <w14:gs w14:pos="0">
                        <w14:srgbClr w14:val="14CD68"/>
                      </w14:gs>
                      <w14:gs w14:pos="100000">
                        <w14:srgbClr w14:val="0B6E38"/>
                      </w14:gs>
                    </w14:gsLst>
                    <w14:lin w14:scaled="0"/>
                  </w14:gradFill>
                </w14:textFill>
              </w:rPr>
              <w:t>缺</w:t>
            </w:r>
            <w:r>
              <w:rPr>
                <w:rFonts w:hint="eastAsia" w:ascii="宋体" w:hAnsi="宋体" w:eastAsia="宋体" w:cs="宋体"/>
                <w:color w:val="auto"/>
                <w:kern w:val="0"/>
                <w:sz w:val="24"/>
                <w:szCs w:val="24"/>
                <w:highlight w:val="none"/>
                <w:lang w:val="en-US" w:eastAsia="zh-CN" w:bidi="ar-SA"/>
                <w14:textFill>
                  <w14:gradFill>
                    <w14:gsLst>
                      <w14:gs w14:pos="0">
                        <w14:srgbClr w14:val="14CD68"/>
                      </w14:gs>
                      <w14:gs w14:pos="100000">
                        <w14:srgbClr w14:val="0B6E38"/>
                      </w14:gs>
                    </w14:gsLst>
                    <w14:lin w14:scaled="0"/>
                  </w14:gradFill>
                </w14:textFill>
              </w:rPr>
              <w:t>一项缺失扣1分，每有一项内容存在缺陷的扣0.5分，扣完为止</w:t>
            </w:r>
            <w:r>
              <w:rPr>
                <w:rFonts w:hint="eastAsia" w:ascii="宋体" w:hAnsi="宋体" w:eastAsia="宋体" w:cs="宋体"/>
                <w:color w:val="auto"/>
                <w:kern w:val="0"/>
                <w:sz w:val="24"/>
                <w:szCs w:val="24"/>
                <w:highlight w:val="none"/>
                <w:lang w:val="en-US" w:eastAsia="zh-CN" w:bidi="ar-SA"/>
              </w:rPr>
              <w:t>。</w:t>
            </w:r>
          </w:p>
          <w:p w14:paraId="1E0FA3CC">
            <w:pPr>
              <w:keepNext w:val="0"/>
              <w:keepLines w:val="0"/>
              <w:pageBreakBefore w:val="0"/>
              <w:widowControl w:val="0"/>
              <w:shd w:val="clear"/>
              <w:kinsoku/>
              <w:wordWrap/>
              <w:overflowPunct/>
              <w:topLinePunct w:val="0"/>
              <w:autoSpaceDE/>
              <w:autoSpaceDN/>
              <w:bidi w:val="0"/>
              <w:snapToGrid/>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缺陷是指：①项目名称错误或实施地点区域错误；②虽有响应但与方案内容要求不符未按采购需求针对描述或存在描述内容过于简略、缺失不全；③表述不清晰、凭空编造、逻辑混淆错误；④套用其他项目方案；⑤存在与本项目无关的内容、不可能实现的夸大情形等情形中的任一种情形。</w:t>
            </w:r>
          </w:p>
        </w:tc>
        <w:tc>
          <w:tcPr>
            <w:tcW w:w="1109" w:type="pct"/>
            <w:noWrap/>
            <w:vAlign w:val="center"/>
          </w:tcPr>
          <w:p w14:paraId="74021FCD">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rPr>
            </w:pPr>
            <w:r>
              <w:rPr>
                <w:rFonts w:hint="eastAsia" w:hAnsi="宋体" w:cs="宋体"/>
                <w:color w:val="auto"/>
                <w:kern w:val="2"/>
                <w:sz w:val="24"/>
                <w:szCs w:val="24"/>
                <w:highlight w:val="none"/>
                <w:lang w:val="en-US" w:eastAsia="zh-CN"/>
              </w:rPr>
              <w:t>/</w:t>
            </w:r>
          </w:p>
        </w:tc>
      </w:tr>
      <w:tr w14:paraId="0D14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263" w:type="pct"/>
            <w:noWrap/>
            <w:vAlign w:val="center"/>
          </w:tcPr>
          <w:p w14:paraId="308AF4ED">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6</w:t>
            </w:r>
          </w:p>
        </w:tc>
        <w:tc>
          <w:tcPr>
            <w:tcW w:w="509" w:type="pct"/>
            <w:noWrap/>
            <w:vAlign w:val="center"/>
          </w:tcPr>
          <w:p w14:paraId="0C204703">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应急措施方案</w:t>
            </w:r>
            <w:r>
              <w:rPr>
                <w:rFonts w:hint="eastAsia" w:hAnsi="宋体" w:cs="宋体"/>
                <w:color w:val="auto"/>
                <w:kern w:val="0"/>
                <w:sz w:val="24"/>
                <w:szCs w:val="24"/>
                <w:highlight w:val="none"/>
                <w:lang w:val="en-US" w:eastAsia="zh-CN"/>
              </w:rPr>
              <w:t>2%</w:t>
            </w:r>
          </w:p>
        </w:tc>
        <w:tc>
          <w:tcPr>
            <w:tcW w:w="508" w:type="pct"/>
            <w:noWrap/>
            <w:vAlign w:val="center"/>
          </w:tcPr>
          <w:p w14:paraId="073A55E4">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val="en-US" w:eastAsia="zh-CN"/>
              </w:rPr>
              <w:t>分</w:t>
            </w:r>
          </w:p>
        </w:tc>
        <w:tc>
          <w:tcPr>
            <w:tcW w:w="2609" w:type="pct"/>
            <w:noWrap/>
            <w:vAlign w:val="center"/>
          </w:tcPr>
          <w:p w14:paraId="64DF5093">
            <w:pPr>
              <w:pStyle w:val="2"/>
              <w:shd w:val="clear"/>
              <w:spacing w:line="360" w:lineRule="auto"/>
              <w:rPr>
                <w:rFonts w:hint="eastAsia" w:ascii="宋体" w:hAnsi="宋体" w:eastAsia="宋体" w:cs="宋体"/>
                <w:color w:val="auto"/>
                <w:highlight w:val="none"/>
                <w:lang w:val="en-US" w:eastAsia="zh-CN"/>
              </w:rPr>
            </w:pPr>
            <w:r>
              <w:rPr>
                <w:rFonts w:hint="eastAsia" w:ascii="宋体" w:hAnsi="宋体" w:cs="宋体"/>
                <w:color w:val="auto"/>
                <w:kern w:val="0"/>
                <w:sz w:val="24"/>
                <w:szCs w:val="24"/>
                <w:highlight w:val="none"/>
                <w:lang w:val="en-US" w:eastAsia="zh-CN"/>
              </w:rPr>
              <w:t>根据</w:t>
            </w:r>
            <w:r>
              <w:rPr>
                <w:rFonts w:hint="eastAsia" w:ascii="宋体" w:hAnsi="宋体" w:eastAsia="宋体" w:cs="宋体"/>
                <w:color w:val="auto"/>
                <w:kern w:val="0"/>
                <w:sz w:val="24"/>
                <w:szCs w:val="24"/>
                <w:highlight w:val="none"/>
                <w:lang w:val="en-US" w:eastAsia="zh-CN"/>
              </w:rPr>
              <w:t>供应商针对本项目提供</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highlight w:val="none"/>
                <w:lang w:val="en-US" w:eastAsia="zh-CN"/>
              </w:rPr>
              <w:t>应急措施方案</w:t>
            </w:r>
            <w:r>
              <w:rPr>
                <w:rFonts w:hint="eastAsia" w:ascii="宋体" w:hAnsi="宋体" w:cs="宋体"/>
                <w:color w:val="auto"/>
                <w:kern w:val="0"/>
                <w:sz w:val="24"/>
                <w:szCs w:val="24"/>
                <w:highlight w:val="none"/>
                <w:lang w:val="en-US" w:eastAsia="zh-CN"/>
              </w:rPr>
              <w:t>进行评分</w:t>
            </w:r>
            <w:r>
              <w:rPr>
                <w:rFonts w:hint="eastAsia" w:ascii="宋体" w:hAnsi="宋体" w:eastAsia="宋体" w:cs="宋体"/>
                <w:color w:val="auto"/>
                <w:highlight w:val="none"/>
                <w:lang w:val="en-US" w:eastAsia="zh-CN"/>
              </w:rPr>
              <w:t>，内容包括：（1）运输中突发状况的应急措施；（2）因问题产品而引发医疗事故的应急措施；（3）临时配送的应急措施（至少包含能保证本项目临时配送要求的配送网点的地点及产品库存的数量等）；（4）其他应急措施（供应商提出其他具有前瞻性的应急措施）。</w:t>
            </w:r>
          </w:p>
          <w:p w14:paraId="73233F68">
            <w:pPr>
              <w:pStyle w:val="2"/>
              <w:shd w:val="clea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kern w:val="0"/>
                <w:sz w:val="24"/>
                <w:szCs w:val="24"/>
                <w:highlight w:val="none"/>
                <w:lang w:val="en-US" w:eastAsia="zh-CN" w:bidi="ar-SA"/>
              </w:rPr>
              <w:t>方案完</w:t>
            </w:r>
            <w:r>
              <w:rPr>
                <w:rFonts w:hint="eastAsia" w:hAnsi="宋体" w:cs="宋体"/>
                <w:color w:val="auto"/>
                <w:kern w:val="0"/>
                <w:sz w:val="24"/>
                <w:szCs w:val="24"/>
                <w:highlight w:val="none"/>
                <w:lang w:val="en-US" w:eastAsia="zh-CN" w:bidi="ar-SA"/>
              </w:rPr>
              <w:t>全包括上述内容</w:t>
            </w:r>
            <w:r>
              <w:rPr>
                <w:rFonts w:hint="eastAsia" w:ascii="宋体" w:hAnsi="宋体" w:eastAsia="宋体" w:cs="宋体"/>
                <w:color w:val="auto"/>
                <w:highlight w:val="none"/>
                <w:lang w:val="en-US" w:eastAsia="zh-CN"/>
              </w:rPr>
              <w:t>且无缺陷的得</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分，每有一项内容缺失扣</w:t>
            </w:r>
            <w:r>
              <w:rPr>
                <w:rFonts w:hint="eastAsia" w:ascii="宋体" w:hAnsi="宋体" w:cs="宋体"/>
                <w:color w:val="auto"/>
                <w:highlight w:val="none"/>
                <w:lang w:val="en-US" w:eastAsia="zh-CN"/>
              </w:rPr>
              <w:t>0.5</w:t>
            </w:r>
            <w:r>
              <w:rPr>
                <w:rFonts w:hint="eastAsia" w:ascii="宋体" w:hAnsi="宋体" w:eastAsia="宋体" w:cs="宋体"/>
                <w:color w:val="auto"/>
                <w:highlight w:val="none"/>
                <w:lang w:val="en-US" w:eastAsia="zh-CN"/>
              </w:rPr>
              <w:t>分，扣完为止。</w:t>
            </w:r>
          </w:p>
          <w:p w14:paraId="6675776E">
            <w:pPr>
              <w:pStyle w:val="2"/>
              <w:shd w:val="clea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缺陷是指：①项目名称错误或实施地点区域错误；②虽有响应但与方案内容要求不符未按采购需求针对描述或存在描述内容过于简略、缺失不全；③表述不清晰、凭空编造、逻辑混淆错误；④套用其他项目方案；⑤存在与本项目无关的内容、不可能实现的夸大情形等情形中的任一种情形。</w:t>
            </w:r>
          </w:p>
          <w:p w14:paraId="304AE32D">
            <w:pPr>
              <w:pStyle w:val="2"/>
              <w:shd w:val="clea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2、应急配送时效性：</w:t>
            </w:r>
            <w:r>
              <w:rPr>
                <w:rFonts w:hint="eastAsia" w:ascii="宋体" w:hAnsi="宋体" w:cs="宋体"/>
                <w:color w:val="auto"/>
                <w:highlight w:val="none"/>
                <w:lang w:val="en-US" w:eastAsia="zh-CN"/>
              </w:rPr>
              <w:t>供应商承诺</w:t>
            </w:r>
            <w:r>
              <w:rPr>
                <w:rFonts w:hint="eastAsia" w:ascii="宋体" w:hAnsi="宋体" w:eastAsia="宋体" w:cs="宋体"/>
                <w:color w:val="auto"/>
                <w:highlight w:val="none"/>
                <w:lang w:val="en-US" w:eastAsia="zh-CN"/>
              </w:rPr>
              <w:t>紧急情况下接到医院通知能在2小时内完成配送服务的得</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分</w:t>
            </w:r>
            <w:r>
              <w:rPr>
                <w:rFonts w:hint="eastAsia" w:ascii="宋体" w:hAnsi="宋体" w:cs="宋体"/>
                <w:color w:val="auto"/>
                <w:highlight w:val="none"/>
                <w:lang w:val="en-US" w:eastAsia="zh-CN"/>
              </w:rPr>
              <w:t>，不承诺不得分</w:t>
            </w:r>
            <w:r>
              <w:rPr>
                <w:rFonts w:hint="eastAsia" w:ascii="宋体" w:hAnsi="宋体" w:eastAsia="宋体" w:cs="宋体"/>
                <w:color w:val="auto"/>
                <w:highlight w:val="none"/>
                <w:lang w:val="en-US" w:eastAsia="zh-CN"/>
              </w:rPr>
              <w:t>。</w:t>
            </w:r>
          </w:p>
          <w:p w14:paraId="65920923">
            <w:pPr>
              <w:pStyle w:val="2"/>
              <w:shd w:val="clear"/>
              <w:spacing w:line="360" w:lineRule="auto"/>
              <w:rPr>
                <w:rFonts w:hint="default"/>
                <w:color w:val="auto"/>
                <w:highlight w:val="none"/>
                <w:lang w:val="en-US" w:eastAsia="zh-CN"/>
              </w:rPr>
            </w:pPr>
            <w:r>
              <w:rPr>
                <w:rFonts w:hint="eastAsia" w:ascii="宋体" w:hAnsi="宋体" w:eastAsia="宋体" w:cs="宋体"/>
                <w:color w:val="auto"/>
                <w:highlight w:val="none"/>
                <w:lang w:val="en-US" w:eastAsia="zh-CN"/>
              </w:rPr>
              <w:t>注：提供承诺函加盖供应商公章。</w:t>
            </w:r>
          </w:p>
        </w:tc>
        <w:tc>
          <w:tcPr>
            <w:tcW w:w="1109" w:type="pct"/>
            <w:noWrap/>
            <w:vAlign w:val="center"/>
          </w:tcPr>
          <w:p w14:paraId="4C44A60F">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rPr>
            </w:pPr>
            <w:r>
              <w:rPr>
                <w:rFonts w:hint="eastAsia" w:hAnsi="宋体" w:cs="宋体"/>
                <w:color w:val="auto"/>
                <w:kern w:val="2"/>
                <w:sz w:val="24"/>
                <w:szCs w:val="24"/>
                <w:highlight w:val="none"/>
                <w:lang w:val="en-US" w:eastAsia="zh-CN"/>
              </w:rPr>
              <w:t>/</w:t>
            </w:r>
          </w:p>
        </w:tc>
      </w:tr>
      <w:tr w14:paraId="3D721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263" w:type="pct"/>
            <w:noWrap/>
            <w:vAlign w:val="center"/>
          </w:tcPr>
          <w:p w14:paraId="04295735">
            <w:pPr>
              <w:pageBreakBefore w:val="0"/>
              <w:widowControl w:val="0"/>
              <w:shd w:val="clear"/>
              <w:kinsoku/>
              <w:wordWrap/>
              <w:overflowPunct/>
              <w:topLinePunct w:val="0"/>
              <w:autoSpaceDE/>
              <w:autoSpaceDN/>
              <w:bidi w:val="0"/>
              <w:adjustRightInd/>
              <w:spacing w:line="360" w:lineRule="auto"/>
              <w:jc w:val="center"/>
              <w:textAlignment w:val="auto"/>
              <w:rPr>
                <w:rFonts w:hint="default"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7</w:t>
            </w:r>
          </w:p>
        </w:tc>
        <w:tc>
          <w:tcPr>
            <w:tcW w:w="509" w:type="pct"/>
            <w:noWrap/>
            <w:vAlign w:val="center"/>
          </w:tcPr>
          <w:p w14:paraId="4807B9B1">
            <w:pPr>
              <w:pageBreakBefore w:val="0"/>
              <w:widowControl w:val="0"/>
              <w:shd w:val="clear"/>
              <w:kinsoku/>
              <w:wordWrap/>
              <w:overflowPunct/>
              <w:topLinePunct w:val="0"/>
              <w:autoSpaceDE/>
              <w:autoSpaceDN/>
              <w:bidi w:val="0"/>
              <w:adjustRightIn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bidi="ar-SA"/>
              </w:rPr>
              <w:t>代煎代配中心</w:t>
            </w:r>
            <w:r>
              <w:rPr>
                <w:rFonts w:hint="eastAsia" w:hAnsi="宋体" w:cs="宋体"/>
                <w:b w:val="0"/>
                <w:bCs/>
                <w:color w:val="auto"/>
                <w:kern w:val="2"/>
                <w:sz w:val="24"/>
                <w:szCs w:val="24"/>
                <w:highlight w:val="none"/>
                <w:lang w:val="en-US" w:eastAsia="zh-CN" w:bidi="ar-SA"/>
              </w:rPr>
              <w:t>配置5</w:t>
            </w:r>
            <w:r>
              <w:rPr>
                <w:rFonts w:hint="eastAsia" w:hAnsi="宋体" w:cs="宋体"/>
                <w:color w:val="auto"/>
                <w:kern w:val="0"/>
                <w:sz w:val="24"/>
                <w:szCs w:val="24"/>
                <w:highlight w:val="none"/>
                <w:lang w:val="en-US" w:eastAsia="zh-CN"/>
              </w:rPr>
              <w:t>%</w:t>
            </w:r>
          </w:p>
        </w:tc>
        <w:tc>
          <w:tcPr>
            <w:tcW w:w="508" w:type="pct"/>
            <w:noWrap/>
            <w:vAlign w:val="center"/>
          </w:tcPr>
          <w:p w14:paraId="7D5E288F">
            <w:pPr>
              <w:pageBreakBefore w:val="0"/>
              <w:widowControl w:val="0"/>
              <w:shd w:val="clear"/>
              <w:kinsoku/>
              <w:wordWrap/>
              <w:overflowPunct/>
              <w:topLinePunct w:val="0"/>
              <w:autoSpaceDE/>
              <w:autoSpaceDN/>
              <w:bidi w:val="0"/>
              <w:adjustRightInd/>
              <w:spacing w:line="360" w:lineRule="auto"/>
              <w:jc w:val="center"/>
              <w:textAlignment w:val="auto"/>
              <w:rPr>
                <w:rFonts w:hint="default"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5分</w:t>
            </w:r>
          </w:p>
        </w:tc>
        <w:tc>
          <w:tcPr>
            <w:tcW w:w="2609" w:type="pct"/>
            <w:noWrap/>
            <w:vAlign w:val="center"/>
          </w:tcPr>
          <w:p w14:paraId="75407367">
            <w:pPr>
              <w:pStyle w:val="2"/>
              <w:numPr>
                <w:ilvl w:val="0"/>
                <w:numId w:val="0"/>
              </w:numPr>
              <w:shd w:val="clear"/>
              <w:spacing w:line="360" w:lineRule="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color w:val="auto"/>
                <w:highlight w:val="none"/>
                <w:lang w:val="en-US" w:eastAsia="zh-CN"/>
              </w:rPr>
              <w:t>供应商承诺为本项目配置的</w:t>
            </w:r>
            <w:r>
              <w:rPr>
                <w:rFonts w:hint="eastAsia" w:ascii="宋体" w:hAnsi="宋体" w:eastAsia="宋体" w:cs="宋体"/>
                <w:b w:val="0"/>
                <w:bCs/>
                <w:color w:val="auto"/>
                <w:kern w:val="2"/>
                <w:sz w:val="24"/>
                <w:szCs w:val="24"/>
                <w:highlight w:val="none"/>
                <w:lang w:val="en-US" w:eastAsia="zh-CN" w:bidi="ar-SA"/>
              </w:rPr>
              <w:t>代煎代配中心场地面积≥</w:t>
            </w:r>
            <w:r>
              <w:rPr>
                <w:rFonts w:hint="eastAsia" w:ascii="宋体" w:hAnsi="宋体" w:cs="宋体"/>
                <w:b w:val="0"/>
                <w:bCs/>
                <w:color w:val="auto"/>
                <w:kern w:val="2"/>
                <w:sz w:val="24"/>
                <w:szCs w:val="24"/>
                <w:highlight w:val="none"/>
                <w:lang w:val="en-US" w:eastAsia="zh-CN" w:bidi="ar-SA"/>
                <w14:textFill>
                  <w14:gradFill>
                    <w14:gsLst>
                      <w14:gs w14:pos="0">
                        <w14:srgbClr w14:val="007BD3"/>
                      </w14:gs>
                      <w14:gs w14:pos="100000">
                        <w14:srgbClr w14:val="034373"/>
                      </w14:gs>
                    </w14:gsLst>
                    <w14:lin w14:scaled="0"/>
                  </w14:gradFill>
                </w14:textFill>
              </w:rPr>
              <w:t>2000</w:t>
            </w:r>
            <w:r>
              <w:rPr>
                <w:rFonts w:hint="eastAsia" w:ascii="宋体" w:hAnsi="宋体" w:eastAsia="宋体" w:cs="宋体"/>
                <w:b w:val="0"/>
                <w:bCs/>
                <w:color w:val="auto"/>
                <w:kern w:val="2"/>
                <w:sz w:val="24"/>
                <w:szCs w:val="24"/>
                <w:highlight w:val="none"/>
                <w:lang w:val="en-US" w:eastAsia="zh-CN" w:bidi="ar-SA"/>
              </w:rPr>
              <w:t>㎡的得2分；</w:t>
            </w:r>
          </w:p>
          <w:p w14:paraId="18ABCD85">
            <w:pPr>
              <w:pStyle w:val="2"/>
              <w:numPr>
                <w:ilvl w:val="0"/>
                <w:numId w:val="0"/>
              </w:numPr>
              <w:shd w:val="clear"/>
              <w:spacing w:line="360" w:lineRule="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highlight w:val="none"/>
                <w:lang w:val="en-US" w:eastAsia="zh-CN"/>
              </w:rPr>
              <w:t>供应商承诺为本项目</w:t>
            </w:r>
            <w:r>
              <w:rPr>
                <w:rFonts w:hint="eastAsia" w:ascii="宋体" w:hAnsi="宋体" w:eastAsia="宋体" w:cs="宋体"/>
                <w:b w:val="0"/>
                <w:bCs/>
                <w:color w:val="auto"/>
                <w:kern w:val="2"/>
                <w:sz w:val="24"/>
                <w:szCs w:val="24"/>
                <w:highlight w:val="none"/>
                <w:lang w:val="en-US" w:eastAsia="zh-CN" w:bidi="ar-SA"/>
              </w:rPr>
              <w:t>代煎代配中心</w:t>
            </w:r>
            <w:r>
              <w:rPr>
                <w:rFonts w:hint="eastAsia" w:ascii="宋体" w:hAnsi="宋体" w:eastAsia="宋体" w:cs="宋体"/>
                <w:color w:val="auto"/>
                <w:highlight w:val="none"/>
                <w:lang w:val="en-US" w:eastAsia="zh-CN"/>
              </w:rPr>
              <w:t>配置的</w:t>
            </w:r>
            <w:r>
              <w:rPr>
                <w:rFonts w:hint="eastAsia" w:ascii="宋体" w:hAnsi="宋体" w:cs="宋体"/>
                <w:color w:val="auto"/>
                <w:highlight w:val="none"/>
                <w:lang w:val="en-US" w:eastAsia="zh-CN"/>
                <w14:textFill>
                  <w14:gradFill>
                    <w14:gsLst>
                      <w14:gs w14:pos="0">
                        <w14:srgbClr w14:val="E30000"/>
                      </w14:gs>
                      <w14:gs w14:pos="100000">
                        <w14:srgbClr w14:val="760303"/>
                      </w14:gs>
                    </w14:gsLst>
                    <w14:lin w14:scaled="0"/>
                  </w14:gradFill>
                </w14:textFill>
              </w:rPr>
              <w:t>全自动</w:t>
            </w:r>
            <w:r>
              <w:rPr>
                <w:rFonts w:hint="eastAsia" w:ascii="宋体" w:hAnsi="宋体" w:eastAsia="宋体" w:cs="宋体"/>
                <w:b w:val="0"/>
                <w:bCs/>
                <w:color w:val="auto"/>
                <w:kern w:val="2"/>
                <w:sz w:val="24"/>
                <w:szCs w:val="24"/>
                <w:highlight w:val="none"/>
                <w:lang w:val="en-US" w:eastAsia="zh-CN" w:bidi="ar-SA"/>
              </w:rPr>
              <w:t>煎药机≥35台的得</w:t>
            </w:r>
            <w:r>
              <w:rPr>
                <w:rFonts w:hint="eastAsia" w:ascii="宋体" w:hAnsi="宋体" w:cs="宋体"/>
                <w:b w:val="0"/>
                <w:bCs/>
                <w:color w:val="auto"/>
                <w:kern w:val="2"/>
                <w:sz w:val="24"/>
                <w:szCs w:val="24"/>
                <w:highlight w:val="none"/>
                <w:lang w:val="en-US" w:eastAsia="zh-CN" w:bidi="ar-SA"/>
                <w14:textFill>
                  <w14:gradFill>
                    <w14:gsLst>
                      <w14:gs w14:pos="0">
                        <w14:srgbClr w14:val="14CD68"/>
                      </w14:gs>
                      <w14:gs w14:pos="100000">
                        <w14:srgbClr w14:val="0B6E38"/>
                      </w14:gs>
                    </w14:gsLst>
                    <w14:lin w14:scaled="0"/>
                  </w14:gradFill>
                </w14:textFill>
              </w:rPr>
              <w:t>0.5</w:t>
            </w:r>
            <w:r>
              <w:rPr>
                <w:rFonts w:hint="eastAsia" w:ascii="宋体" w:hAnsi="宋体" w:eastAsia="宋体" w:cs="宋体"/>
                <w:b w:val="0"/>
                <w:bCs/>
                <w:color w:val="auto"/>
                <w:kern w:val="2"/>
                <w:sz w:val="24"/>
                <w:szCs w:val="24"/>
                <w:highlight w:val="none"/>
                <w:lang w:val="en-US" w:eastAsia="zh-CN" w:bidi="ar-SA"/>
              </w:rPr>
              <w:t>分，膏类代加工相关设备≥5套的得</w:t>
            </w:r>
            <w:r>
              <w:rPr>
                <w:rFonts w:hint="eastAsia" w:ascii="宋体" w:hAnsi="宋体" w:cs="宋体"/>
                <w:b w:val="0"/>
                <w:bCs/>
                <w:color w:val="auto"/>
                <w:kern w:val="2"/>
                <w:sz w:val="24"/>
                <w:szCs w:val="24"/>
                <w:highlight w:val="none"/>
                <w:lang w:val="en-US" w:eastAsia="zh-CN" w:bidi="ar-SA"/>
              </w:rPr>
              <w:t>0.5</w:t>
            </w:r>
            <w:r>
              <w:rPr>
                <w:rFonts w:hint="eastAsia" w:ascii="宋体" w:hAnsi="宋体" w:eastAsia="宋体" w:cs="宋体"/>
                <w:b w:val="0"/>
                <w:bCs/>
                <w:color w:val="auto"/>
                <w:kern w:val="2"/>
                <w:sz w:val="24"/>
                <w:szCs w:val="24"/>
                <w:highlight w:val="none"/>
                <w:lang w:val="en-US" w:eastAsia="zh-CN" w:bidi="ar-SA"/>
              </w:rPr>
              <w:t>分，丸类代加工相关设备≥5套的得</w:t>
            </w:r>
            <w:r>
              <w:rPr>
                <w:rFonts w:hint="eastAsia" w:ascii="宋体" w:hAnsi="宋体" w:cs="宋体"/>
                <w:b w:val="0"/>
                <w:bCs/>
                <w:color w:val="auto"/>
                <w:kern w:val="2"/>
                <w:sz w:val="24"/>
                <w:szCs w:val="24"/>
                <w:highlight w:val="none"/>
                <w:lang w:val="en-US" w:eastAsia="zh-CN" w:bidi="ar-SA"/>
              </w:rPr>
              <w:t>0.5</w:t>
            </w:r>
            <w:r>
              <w:rPr>
                <w:rFonts w:hint="eastAsia" w:ascii="宋体" w:hAnsi="宋体" w:eastAsia="宋体" w:cs="宋体"/>
                <w:b w:val="0"/>
                <w:bCs/>
                <w:color w:val="auto"/>
                <w:kern w:val="2"/>
                <w:sz w:val="24"/>
                <w:szCs w:val="24"/>
                <w:highlight w:val="none"/>
                <w:lang w:val="en-US" w:eastAsia="zh-CN" w:bidi="ar-SA"/>
              </w:rPr>
              <w:t>分，散类代加工相关设备≥5套的得</w:t>
            </w:r>
            <w:r>
              <w:rPr>
                <w:rFonts w:hint="eastAsia" w:ascii="宋体" w:hAnsi="宋体" w:cs="宋体"/>
                <w:b w:val="0"/>
                <w:bCs/>
                <w:color w:val="auto"/>
                <w:kern w:val="2"/>
                <w:sz w:val="24"/>
                <w:szCs w:val="24"/>
                <w:highlight w:val="none"/>
                <w:lang w:val="en-US" w:eastAsia="zh-CN" w:bidi="ar-SA"/>
              </w:rPr>
              <w:t>0.5</w:t>
            </w:r>
            <w:r>
              <w:rPr>
                <w:rFonts w:hint="eastAsia" w:ascii="宋体" w:hAnsi="宋体" w:eastAsia="宋体" w:cs="宋体"/>
                <w:b w:val="0"/>
                <w:bCs/>
                <w:color w:val="auto"/>
                <w:kern w:val="2"/>
                <w:sz w:val="24"/>
                <w:szCs w:val="24"/>
                <w:highlight w:val="none"/>
                <w:lang w:val="en-US" w:eastAsia="zh-CN" w:bidi="ar-SA"/>
              </w:rPr>
              <w:t>分，本项最多得</w:t>
            </w:r>
            <w:r>
              <w:rPr>
                <w:rFonts w:hint="eastAsia" w:ascii="宋体" w:hAnsi="宋体" w:cs="宋体"/>
                <w:b w:val="0"/>
                <w:bCs/>
                <w:color w:val="00B050"/>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en-US" w:eastAsia="zh-CN" w:bidi="ar-SA"/>
              </w:rPr>
              <w:t>分。</w:t>
            </w:r>
          </w:p>
          <w:p w14:paraId="55028BF9">
            <w:pPr>
              <w:pStyle w:val="2"/>
              <w:numPr>
                <w:ilvl w:val="0"/>
                <w:numId w:val="0"/>
              </w:numPr>
              <w:shd w:val="clear"/>
              <w:spacing w:line="360" w:lineRule="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3、供应商承诺为本项目代煎代配中心配备的工作人员在满足服务要求的基础上每增加一名通过专业培训或具有中药士及以上专业资质的得0.5分，本项最多得</w:t>
            </w:r>
            <w:r>
              <w:rPr>
                <w:rFonts w:hint="eastAsia" w:ascii="宋体" w:hAnsi="宋体" w:cs="宋体"/>
                <w:b w:val="0"/>
                <w:bCs/>
                <w:color w:val="00B050"/>
                <w:kern w:val="2"/>
                <w:sz w:val="24"/>
                <w:szCs w:val="24"/>
                <w:highlight w:val="none"/>
                <w:lang w:val="en-US" w:eastAsia="zh-CN" w:bidi="ar-SA"/>
              </w:rPr>
              <w:t>1</w:t>
            </w:r>
            <w:r>
              <w:rPr>
                <w:rFonts w:hint="eastAsia" w:ascii="宋体" w:hAnsi="宋体" w:eastAsia="宋体" w:cs="宋体"/>
                <w:b w:val="0"/>
                <w:bCs/>
                <w:color w:val="auto"/>
                <w:kern w:val="2"/>
                <w:sz w:val="24"/>
                <w:szCs w:val="24"/>
                <w:highlight w:val="none"/>
                <w:lang w:val="en-US" w:eastAsia="zh-CN" w:bidi="ar-SA"/>
              </w:rPr>
              <w:t>分。</w:t>
            </w:r>
          </w:p>
          <w:p w14:paraId="702C3664">
            <w:pPr>
              <w:pStyle w:val="2"/>
              <w:numPr>
                <w:ilvl w:val="0"/>
                <w:numId w:val="0"/>
              </w:numPr>
              <w:shd w:val="clear"/>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color w:val="auto"/>
                <w:kern w:val="2"/>
                <w:sz w:val="24"/>
                <w:szCs w:val="24"/>
                <w:highlight w:val="none"/>
                <w:lang w:val="en-US" w:eastAsia="zh-CN" w:bidi="ar-SA"/>
              </w:rPr>
              <w:t>注：提供上述承诺函加盖供应商公章。</w:t>
            </w:r>
          </w:p>
        </w:tc>
        <w:tc>
          <w:tcPr>
            <w:tcW w:w="1109" w:type="pct"/>
            <w:noWrap/>
            <w:vAlign w:val="center"/>
          </w:tcPr>
          <w:p w14:paraId="395988FF">
            <w:pPr>
              <w:pageBreakBefore w:val="0"/>
              <w:widowControl w:val="0"/>
              <w:shd w:val="clear"/>
              <w:kinsoku/>
              <w:wordWrap/>
              <w:overflowPunct/>
              <w:topLinePunct w:val="0"/>
              <w:autoSpaceDE/>
              <w:autoSpaceDN/>
              <w:bidi w:val="0"/>
              <w:adjustRightInd/>
              <w:spacing w:line="360" w:lineRule="auto"/>
              <w:jc w:val="center"/>
              <w:textAlignment w:val="auto"/>
              <w:rPr>
                <w:rFonts w:hint="eastAsia" w:hAnsi="宋体" w:cs="宋体"/>
                <w:color w:val="auto"/>
                <w:kern w:val="2"/>
                <w:sz w:val="24"/>
                <w:szCs w:val="24"/>
                <w:highlight w:val="none"/>
                <w:lang w:val="en-US" w:eastAsia="zh-CN"/>
              </w:rPr>
            </w:pPr>
          </w:p>
        </w:tc>
      </w:tr>
      <w:tr w14:paraId="6457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263" w:type="pct"/>
            <w:noWrap/>
            <w:vAlign w:val="center"/>
          </w:tcPr>
          <w:p w14:paraId="47BDECA3">
            <w:pPr>
              <w:pageBreakBefore w:val="0"/>
              <w:widowControl w:val="0"/>
              <w:shd w:val="clear"/>
              <w:kinsoku/>
              <w:wordWrap/>
              <w:overflowPunct/>
              <w:topLinePunct w:val="0"/>
              <w:autoSpaceDE/>
              <w:autoSpaceDN/>
              <w:bidi w:val="0"/>
              <w:adjustRightInd/>
              <w:spacing w:line="360" w:lineRule="auto"/>
              <w:jc w:val="center"/>
              <w:textAlignment w:val="auto"/>
              <w:rPr>
                <w:rFonts w:hint="default"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8</w:t>
            </w:r>
          </w:p>
        </w:tc>
        <w:tc>
          <w:tcPr>
            <w:tcW w:w="509" w:type="pct"/>
            <w:noWrap/>
            <w:vAlign w:val="center"/>
          </w:tcPr>
          <w:p w14:paraId="6A75F6E3">
            <w:pPr>
              <w:pageBreakBefore w:val="0"/>
              <w:widowControl w:val="0"/>
              <w:shd w:val="clear"/>
              <w:kinsoku/>
              <w:wordWrap/>
              <w:overflowPunct/>
              <w:topLinePunct w:val="0"/>
              <w:autoSpaceDE/>
              <w:autoSpaceDN/>
              <w:bidi w:val="0"/>
              <w:adjustRightInd/>
              <w:spacing w:line="360" w:lineRule="auto"/>
              <w:jc w:val="center"/>
              <w:textAlignment w:val="auto"/>
              <w:rPr>
                <w:rFonts w:hint="eastAsia" w:ascii="宋体" w:hAnsi="宋体" w:eastAsia="宋体" w:cs="宋体"/>
                <w:b w:val="0"/>
                <w:bCs/>
                <w:color w:val="auto"/>
                <w:kern w:val="2"/>
                <w:sz w:val="24"/>
                <w:szCs w:val="24"/>
                <w:highlight w:val="none"/>
                <w:lang w:val="en-US" w:eastAsia="zh-CN" w:bidi="ar-SA"/>
              </w:rPr>
            </w:pPr>
            <w:r>
              <w:rPr>
                <w:rFonts w:hint="eastAsia" w:hAnsi="宋体" w:cs="宋体"/>
                <w:color w:val="auto"/>
                <w:kern w:val="0"/>
                <w:sz w:val="24"/>
                <w:szCs w:val="24"/>
                <w:highlight w:val="none"/>
                <w:lang w:val="en-US" w:eastAsia="zh-CN"/>
              </w:rPr>
              <w:t>样品3%</w:t>
            </w:r>
          </w:p>
        </w:tc>
        <w:tc>
          <w:tcPr>
            <w:tcW w:w="508" w:type="pct"/>
            <w:noWrap/>
            <w:vAlign w:val="center"/>
          </w:tcPr>
          <w:p w14:paraId="05FD58E6">
            <w:pPr>
              <w:pageBreakBefore w:val="0"/>
              <w:widowControl w:val="0"/>
              <w:shd w:val="clear"/>
              <w:kinsoku/>
              <w:wordWrap/>
              <w:overflowPunct/>
              <w:topLinePunct w:val="0"/>
              <w:autoSpaceDE/>
              <w:autoSpaceDN/>
              <w:bidi w:val="0"/>
              <w:adjustRightInd/>
              <w:spacing w:line="360" w:lineRule="auto"/>
              <w:jc w:val="center"/>
              <w:textAlignment w:val="auto"/>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3分</w:t>
            </w:r>
          </w:p>
        </w:tc>
        <w:tc>
          <w:tcPr>
            <w:tcW w:w="2609" w:type="pct"/>
            <w:noWrap/>
            <w:vAlign w:val="center"/>
          </w:tcPr>
          <w:p w14:paraId="236D8324">
            <w:pPr>
              <w:keepNext w:val="0"/>
              <w:keepLines w:val="0"/>
              <w:pageBreakBefore w:val="0"/>
              <w:widowControl w:val="0"/>
              <w:shd w:val="clea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lang w:val="en-US" w:eastAsia="zh-CN"/>
              </w:rPr>
              <w:t>需根据样品清单及要求</w:t>
            </w:r>
            <w:r>
              <w:rPr>
                <w:rFonts w:hint="eastAsia" w:ascii="宋体" w:hAnsi="宋体" w:eastAsia="宋体" w:cs="宋体"/>
                <w:color w:val="auto"/>
                <w:kern w:val="2"/>
                <w:sz w:val="24"/>
                <w:szCs w:val="24"/>
                <w:highlight w:val="none"/>
              </w:rPr>
              <w:t>提供</w:t>
            </w:r>
            <w:r>
              <w:rPr>
                <w:rFonts w:hint="eastAsia" w:ascii="宋体" w:hAnsi="宋体" w:eastAsia="宋体" w:cs="宋体"/>
                <w:color w:val="auto"/>
                <w:kern w:val="2"/>
                <w:sz w:val="24"/>
                <w:szCs w:val="24"/>
                <w:highlight w:val="none"/>
                <w:lang w:val="en-US" w:eastAsia="zh-CN"/>
              </w:rPr>
              <w:t>清单所列</w:t>
            </w:r>
            <w:r>
              <w:rPr>
                <w:rFonts w:hint="eastAsia" w:hAnsi="宋体" w:cs="宋体"/>
                <w:color w:val="auto"/>
                <w:kern w:val="2"/>
                <w:sz w:val="24"/>
                <w:szCs w:val="24"/>
                <w:highlight w:val="none"/>
                <w:lang w:val="en-US" w:eastAsia="zh-CN"/>
                <w14:textFill>
                  <w14:gradFill>
                    <w14:gsLst>
                      <w14:gs w14:pos="0">
                        <w14:srgbClr w14:val="007BD3"/>
                      </w14:gs>
                      <w14:gs w14:pos="100000">
                        <w14:srgbClr w14:val="034373"/>
                      </w14:gs>
                    </w14:gsLst>
                    <w14:lin w14:scaled="0"/>
                  </w14:gradFill>
                </w14:textFill>
              </w:rPr>
              <w:t>60</w:t>
            </w:r>
            <w:r>
              <w:rPr>
                <w:rFonts w:hint="eastAsia" w:ascii="宋体" w:hAnsi="宋体" w:eastAsia="宋体" w:cs="宋体"/>
                <w:color w:val="auto"/>
                <w:kern w:val="2"/>
                <w:sz w:val="24"/>
                <w:szCs w:val="24"/>
                <w:highlight w:val="none"/>
                <w:lang w:val="en-US" w:eastAsia="zh-CN"/>
              </w:rPr>
              <w:t>个样品</w:t>
            </w:r>
            <w:r>
              <w:rPr>
                <w:rFonts w:hint="eastAsia" w:ascii="宋体" w:hAnsi="宋体" w:eastAsia="宋体" w:cs="宋体"/>
                <w:color w:val="auto"/>
                <w:kern w:val="2"/>
                <w:sz w:val="24"/>
                <w:szCs w:val="24"/>
                <w:highlight w:val="none"/>
              </w:rPr>
              <w:t>和检验报告（样品单独提供，检验报告体现在</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文件中），专家根据综合质量（性状、炮制、品质等药典要求）评审，</w:t>
            </w:r>
            <w:r>
              <w:rPr>
                <w:rFonts w:hint="eastAsia" w:ascii="宋体" w:hAnsi="宋体" w:eastAsia="宋体" w:cs="宋体"/>
                <w:color w:val="auto"/>
                <w:kern w:val="2"/>
                <w:sz w:val="24"/>
                <w:szCs w:val="24"/>
                <w:highlight w:val="none"/>
                <w:lang w:eastAsia="zh-CN"/>
              </w:rPr>
              <w:t>综合</w:t>
            </w:r>
            <w:r>
              <w:rPr>
                <w:rFonts w:hint="eastAsia" w:ascii="宋体" w:hAnsi="宋体" w:eastAsia="宋体" w:cs="宋体"/>
                <w:color w:val="auto"/>
                <w:kern w:val="2"/>
                <w:sz w:val="24"/>
                <w:szCs w:val="24"/>
                <w:highlight w:val="none"/>
              </w:rPr>
              <w:t>评为甲、乙、丙</w:t>
            </w:r>
            <w:r>
              <w:rPr>
                <w:rFonts w:hint="eastAsia" w:hAnsi="宋体" w:cs="宋体"/>
                <w:color w:val="auto"/>
                <w:kern w:val="2"/>
                <w:sz w:val="24"/>
                <w:szCs w:val="24"/>
                <w:highlight w:val="none"/>
                <w:lang w:val="en-US" w:eastAsia="zh-CN"/>
              </w:rPr>
              <w:t>三</w:t>
            </w:r>
            <w:r>
              <w:rPr>
                <w:rFonts w:hint="eastAsia" w:ascii="宋体" w:hAnsi="宋体" w:eastAsia="宋体" w:cs="宋体"/>
                <w:color w:val="auto"/>
                <w:kern w:val="2"/>
                <w:sz w:val="24"/>
                <w:szCs w:val="24"/>
                <w:highlight w:val="none"/>
              </w:rPr>
              <w:t>等，甲等</w:t>
            </w:r>
            <w:r>
              <w:rPr>
                <w:rFonts w:hint="eastAsia"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分，乙等</w:t>
            </w:r>
            <w:r>
              <w:rPr>
                <w:rFonts w:hint="eastAsia"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分，丙等</w:t>
            </w:r>
            <w:r>
              <w:rPr>
                <w:rFonts w:hint="eastAsia"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分，</w:t>
            </w:r>
            <w:r>
              <w:rPr>
                <w:rFonts w:hint="eastAsia" w:ascii="宋体" w:hAnsi="宋体" w:eastAsia="宋体" w:cs="宋体"/>
                <w:color w:val="auto"/>
                <w:kern w:val="2"/>
                <w:sz w:val="24"/>
                <w:szCs w:val="24"/>
                <w:highlight w:val="none"/>
              </w:rPr>
              <w:t>样品</w:t>
            </w:r>
            <w:r>
              <w:rPr>
                <w:rFonts w:hint="eastAsia" w:ascii="宋体" w:hAnsi="宋体" w:eastAsia="宋体" w:cs="宋体"/>
                <w:color w:val="auto"/>
                <w:kern w:val="2"/>
                <w:sz w:val="24"/>
                <w:szCs w:val="24"/>
                <w:highlight w:val="none"/>
                <w:lang w:val="en-US" w:eastAsia="zh-CN"/>
              </w:rPr>
              <w:t>和检验报告不全或不提供</w:t>
            </w:r>
            <w:r>
              <w:rPr>
                <w:rFonts w:hint="eastAsia" w:ascii="宋体" w:hAnsi="宋体" w:eastAsia="宋体" w:cs="宋体"/>
                <w:color w:val="auto"/>
                <w:kern w:val="2"/>
                <w:sz w:val="24"/>
                <w:szCs w:val="24"/>
                <w:highlight w:val="none"/>
              </w:rPr>
              <w:t>或不符合</w:t>
            </w:r>
            <w:r>
              <w:rPr>
                <w:rFonts w:hint="eastAsia" w:ascii="宋体" w:hAnsi="宋体" w:eastAsia="宋体" w:cs="宋体"/>
                <w:color w:val="auto"/>
                <w:kern w:val="2"/>
                <w:sz w:val="24"/>
                <w:szCs w:val="24"/>
                <w:highlight w:val="none"/>
                <w:lang w:eastAsia="zh-CN"/>
              </w:rPr>
              <w:t>相关法律法规</w:t>
            </w:r>
            <w:r>
              <w:rPr>
                <w:rFonts w:hint="eastAsia" w:ascii="宋体" w:hAnsi="宋体" w:eastAsia="宋体" w:cs="宋体"/>
                <w:color w:val="auto"/>
                <w:kern w:val="2"/>
                <w:sz w:val="24"/>
                <w:szCs w:val="24"/>
                <w:highlight w:val="none"/>
              </w:rPr>
              <w:t>规定</w:t>
            </w:r>
            <w:r>
              <w:rPr>
                <w:rFonts w:hint="eastAsia" w:ascii="宋体" w:hAnsi="宋体" w:eastAsia="宋体" w:cs="宋体"/>
                <w:color w:val="auto"/>
                <w:kern w:val="2"/>
                <w:sz w:val="24"/>
                <w:szCs w:val="24"/>
                <w:highlight w:val="none"/>
                <w:lang w:val="en-US" w:eastAsia="zh-CN"/>
              </w:rPr>
              <w:t>的不得分</w:t>
            </w:r>
            <w:r>
              <w:rPr>
                <w:rFonts w:hint="eastAsia" w:ascii="宋体" w:hAnsi="宋体" w:eastAsia="宋体" w:cs="宋体"/>
                <w:color w:val="auto"/>
                <w:kern w:val="2"/>
                <w:sz w:val="24"/>
                <w:szCs w:val="24"/>
                <w:highlight w:val="none"/>
              </w:rPr>
              <w:t>，样品作为验收的依据。</w:t>
            </w:r>
          </w:p>
          <w:p w14:paraId="32BC3ECA">
            <w:pPr>
              <w:pageBreakBefore w:val="0"/>
              <w:widowControl w:val="0"/>
              <w:numPr>
                <w:ilvl w:val="0"/>
                <w:numId w:val="0"/>
              </w:numPr>
              <w:shd w:val="clear"/>
              <w:kinsoku/>
              <w:wordWrap/>
              <w:overflowPunct/>
              <w:topLinePunct w:val="0"/>
              <w:autoSpaceDE/>
              <w:autoSpaceDN/>
              <w:bidi w:val="0"/>
              <w:adjustRightInd/>
              <w:spacing w:line="360" w:lineRule="auto"/>
              <w:ind w:left="0" w:leftChars="0" w:firstLine="0" w:firstLineChars="0"/>
              <w:jc w:val="left"/>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注：提供</w:t>
            </w:r>
            <w:r>
              <w:rPr>
                <w:rFonts w:hint="eastAsia" w:ascii="宋体" w:hAnsi="宋体" w:eastAsia="宋体" w:cs="宋体"/>
                <w:color w:val="auto"/>
                <w:kern w:val="2"/>
                <w:sz w:val="24"/>
                <w:szCs w:val="24"/>
                <w:highlight w:val="none"/>
                <w:lang w:val="en-US" w:eastAsia="zh-CN"/>
              </w:rPr>
              <w:t>样品清单所列</w:t>
            </w:r>
            <w:r>
              <w:rPr>
                <w:rFonts w:hint="eastAsia" w:ascii="宋体" w:hAnsi="宋体" w:eastAsia="宋体" w:cs="宋体"/>
                <w:color w:val="auto"/>
                <w:kern w:val="2"/>
                <w:sz w:val="24"/>
                <w:szCs w:val="24"/>
                <w:highlight w:val="none"/>
                <w:lang w:val="en-US" w:eastAsia="zh-CN" w:bidi="ar-SA"/>
              </w:rPr>
              <w:t>样品和检验报告复印件加盖供应商公章。</w:t>
            </w:r>
          </w:p>
        </w:tc>
        <w:tc>
          <w:tcPr>
            <w:tcW w:w="1109" w:type="pct"/>
            <w:noWrap/>
            <w:vAlign w:val="center"/>
          </w:tcPr>
          <w:p w14:paraId="3EB89C5C">
            <w:pPr>
              <w:pageBreakBefore w:val="0"/>
              <w:widowControl w:val="0"/>
              <w:shd w:val="clear"/>
              <w:kinsoku/>
              <w:wordWrap/>
              <w:overflowPunct/>
              <w:topLinePunct w:val="0"/>
              <w:autoSpaceDE/>
              <w:autoSpaceDN/>
              <w:bidi w:val="0"/>
              <w:adjustRightInd/>
              <w:spacing w:line="360" w:lineRule="auto"/>
              <w:jc w:val="center"/>
              <w:textAlignment w:val="auto"/>
              <w:rPr>
                <w:rFonts w:hint="eastAsia" w:hAnsi="宋体" w:cs="宋体"/>
                <w:color w:val="auto"/>
                <w:kern w:val="2"/>
                <w:sz w:val="24"/>
                <w:szCs w:val="24"/>
                <w:highlight w:val="none"/>
                <w:lang w:val="en-US" w:eastAsia="zh-CN"/>
              </w:rPr>
            </w:pPr>
          </w:p>
        </w:tc>
      </w:tr>
    </w:tbl>
    <w:p w14:paraId="5DEB630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F56E7E"/>
    <w:rsid w:val="010349D7"/>
    <w:rsid w:val="030253AF"/>
    <w:rsid w:val="04755499"/>
    <w:rsid w:val="07313D1F"/>
    <w:rsid w:val="1992279F"/>
    <w:rsid w:val="1B072554"/>
    <w:rsid w:val="1BD0092E"/>
    <w:rsid w:val="1D2F2AE9"/>
    <w:rsid w:val="1E38489D"/>
    <w:rsid w:val="21376090"/>
    <w:rsid w:val="235D7913"/>
    <w:rsid w:val="25406B0E"/>
    <w:rsid w:val="262A3AAC"/>
    <w:rsid w:val="275D44C6"/>
    <w:rsid w:val="28E16A93"/>
    <w:rsid w:val="329E43C1"/>
    <w:rsid w:val="32F56E7E"/>
    <w:rsid w:val="343C3191"/>
    <w:rsid w:val="348E50B9"/>
    <w:rsid w:val="38C90669"/>
    <w:rsid w:val="3F470569"/>
    <w:rsid w:val="458B79BC"/>
    <w:rsid w:val="4E9C4907"/>
    <w:rsid w:val="5347323A"/>
    <w:rsid w:val="57DA0518"/>
    <w:rsid w:val="63EA299E"/>
    <w:rsid w:val="65BC0477"/>
    <w:rsid w:val="74F21189"/>
    <w:rsid w:val="75914894"/>
    <w:rsid w:val="7658659B"/>
    <w:rsid w:val="785B2CAA"/>
    <w:rsid w:val="78B57F3F"/>
    <w:rsid w:val="79055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Times New Roman" w:eastAsia="宋体" w:cs="Times New Roman"/>
      <w:sz w:val="3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2682</Words>
  <Characters>2782</Characters>
  <Lines>0</Lines>
  <Paragraphs>0</Paragraphs>
  <TotalTime>82</TotalTime>
  <ScaleCrop>false</ScaleCrop>
  <LinksUpToDate>false</LinksUpToDate>
  <CharactersWithSpaces>2783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2025-08-06T02:42:00Z</dcterms:created>
  <dc:creator>李不言。</dc:creator>
  <cp:lastModifiedBy>淡然若水</cp:lastModifiedBy>
  <dcterms:modified xsi:type="dcterms:W3CDTF">2025-12-01T08:32:15Z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9DF117A386D84EC68F67CF109E7C9748</vt:lpwstr>
  </property>
  <property fmtid="{D5CDD505-2E9C-101B-9397-08002B2CF9AE}" pid="4" name="KSOTemplateDocerSaveRecord">
    <vt:lpwstr>eyJoZGlkIjoiN2UyMzNmNTk0ZjYzYjBkY2QwNWM2MDYzNjMxNzkxYWYiLCJ1c2VySWQiOiI5ODU2ODE4ODgifQ==</vt:lpwstr>
  </property>
</Properties>
</file>